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602FF" w14:textId="49E6B64B" w:rsidR="00187094" w:rsidRPr="00E25134" w:rsidRDefault="00187094" w:rsidP="00187094">
      <w:pPr>
        <w:shd w:val="clear" w:color="auto" w:fill="FFFFFF"/>
        <w:spacing w:after="75" w:line="240" w:lineRule="auto"/>
        <w:outlineLvl w:val="0"/>
        <w:rPr>
          <w:rFonts w:eastAsia="Times New Roman" w:cstheme="minorHAnsi"/>
          <w:color w:val="264C80"/>
          <w:kern w:val="36"/>
          <w:sz w:val="45"/>
          <w:szCs w:val="45"/>
          <w:lang w:eastAsia="pl-PL"/>
        </w:rPr>
      </w:pPr>
      <w:r w:rsidRPr="00E25134">
        <w:rPr>
          <w:rFonts w:eastAsia="Times New Roman" w:cstheme="minorHAnsi"/>
          <w:color w:val="264C80"/>
          <w:kern w:val="36"/>
          <w:sz w:val="45"/>
          <w:szCs w:val="45"/>
          <w:lang w:eastAsia="pl-PL"/>
        </w:rPr>
        <w:t>Dane wykorzystane przy kalkulacji składek na fundusz przymusowej restrukturyzacji banków należnych za 202</w:t>
      </w:r>
      <w:r w:rsidR="00326CCC">
        <w:rPr>
          <w:rFonts w:eastAsia="Times New Roman" w:cstheme="minorHAnsi"/>
          <w:color w:val="264C80"/>
          <w:kern w:val="36"/>
          <w:sz w:val="45"/>
          <w:szCs w:val="45"/>
          <w:lang w:eastAsia="pl-PL"/>
        </w:rPr>
        <w:t>6</w:t>
      </w:r>
      <w:r w:rsidRPr="00E25134">
        <w:rPr>
          <w:rFonts w:eastAsia="Times New Roman" w:cstheme="minorHAnsi"/>
          <w:color w:val="264C80"/>
          <w:kern w:val="36"/>
          <w:sz w:val="45"/>
          <w:szCs w:val="45"/>
          <w:lang w:eastAsia="pl-PL"/>
        </w:rPr>
        <w:t xml:space="preserve"> r.</w:t>
      </w:r>
    </w:p>
    <w:p w14:paraId="699DBBB6" w14:textId="77777777" w:rsidR="00187094" w:rsidRPr="00E25134" w:rsidRDefault="00187094" w:rsidP="00187094">
      <w:pPr>
        <w:spacing w:after="0" w:line="240" w:lineRule="auto"/>
        <w:rPr>
          <w:rFonts w:eastAsia="Times New Roman" w:cstheme="minorHAnsi"/>
          <w:color w:val="333333"/>
          <w:sz w:val="21"/>
          <w:szCs w:val="21"/>
          <w:lang w:eastAsia="pl-PL"/>
        </w:rPr>
      </w:pPr>
    </w:p>
    <w:p w14:paraId="63373578" w14:textId="0938AC15" w:rsidR="00187094" w:rsidRPr="00E25134" w:rsidRDefault="00187094" w:rsidP="00187094">
      <w:pPr>
        <w:shd w:val="clear" w:color="auto" w:fill="FFFFFF"/>
        <w:spacing w:after="0" w:line="240" w:lineRule="auto"/>
        <w:rPr>
          <w:rFonts w:eastAsia="Times New Roman" w:cstheme="minorHAnsi"/>
          <w:color w:val="000000"/>
          <w:sz w:val="24"/>
          <w:szCs w:val="24"/>
          <w:lang w:eastAsia="pl-PL"/>
        </w:rPr>
      </w:pPr>
      <w:r w:rsidRPr="00E25134">
        <w:rPr>
          <w:rFonts w:eastAsia="Times New Roman" w:cstheme="minorHAnsi"/>
          <w:color w:val="000000"/>
          <w:sz w:val="24"/>
          <w:szCs w:val="24"/>
          <w:lang w:eastAsia="pl-PL"/>
        </w:rPr>
        <w:t>Bankowy Fundusz Gwarancyjny przekazuje bankom</w:t>
      </w:r>
      <w:r w:rsidR="00DB7119">
        <w:rPr>
          <w:rFonts w:eastAsia="Times New Roman" w:cstheme="minorHAnsi"/>
          <w:color w:val="000000"/>
          <w:sz w:val="24"/>
          <w:szCs w:val="24"/>
          <w:lang w:eastAsia="pl-PL"/>
        </w:rPr>
        <w:t>, oddziałom banków zagranicznych</w:t>
      </w:r>
      <w:r w:rsidRPr="00E25134">
        <w:rPr>
          <w:rFonts w:eastAsia="Times New Roman" w:cstheme="minorHAnsi"/>
          <w:color w:val="000000"/>
          <w:sz w:val="24"/>
          <w:szCs w:val="24"/>
          <w:lang w:eastAsia="pl-PL"/>
        </w:rPr>
        <w:t xml:space="preserve"> i firmom inwestycyjnym informacje o całkowitej wysokości podstawy do wyznaczenia składek na fundusz przymusowej restrukturyzacji, łącznej kwocie składek ryczałtowych, łącznej kwocie składek od banków hipotecznych oraz wybrane inne informacje wykorzystywane przy wyznaczaniu łącznej oceny profilu ryzyka.</w:t>
      </w:r>
    </w:p>
    <w:p w14:paraId="580B1C33" w14:textId="77777777" w:rsidR="00187094" w:rsidRPr="00E25134" w:rsidRDefault="00187094" w:rsidP="00187094">
      <w:pPr>
        <w:shd w:val="clear" w:color="auto" w:fill="FFFFFF"/>
        <w:spacing w:before="240" w:after="240" w:line="240" w:lineRule="auto"/>
        <w:outlineLvl w:val="3"/>
        <w:rPr>
          <w:rFonts w:eastAsia="Times New Roman" w:cstheme="minorHAnsi"/>
          <w:b/>
          <w:bCs/>
          <w:color w:val="264C80"/>
          <w:sz w:val="33"/>
          <w:szCs w:val="33"/>
          <w:lang w:eastAsia="pl-PL"/>
        </w:rPr>
      </w:pPr>
      <w:r w:rsidRPr="00E25134">
        <w:rPr>
          <w:rFonts w:eastAsia="Times New Roman" w:cstheme="minorHAnsi"/>
          <w:color w:val="264C80"/>
          <w:sz w:val="33"/>
          <w:szCs w:val="33"/>
          <w:lang w:eastAsia="pl-PL"/>
        </w:rPr>
        <w:t>Informacja o całkowitej wysokości podstawy do wyznaczania składek oraz jej składowych</w:t>
      </w:r>
    </w:p>
    <w:p w14:paraId="3D45C80A" w14:textId="7A7CF5B5" w:rsidR="00187094" w:rsidRPr="00E25134" w:rsidRDefault="00187094" w:rsidP="009D5D96">
      <w:pPr>
        <w:shd w:val="clear" w:color="auto" w:fill="FFFFFF"/>
        <w:spacing w:before="312" w:after="312" w:line="240" w:lineRule="auto"/>
        <w:rPr>
          <w:rFonts w:eastAsia="Times New Roman" w:cstheme="minorHAnsi"/>
          <w:color w:val="000000"/>
          <w:sz w:val="24"/>
          <w:szCs w:val="24"/>
          <w:lang w:eastAsia="pl-PL"/>
        </w:rPr>
      </w:pPr>
      <w:r w:rsidRPr="00E25134">
        <w:rPr>
          <w:rFonts w:eastAsia="Times New Roman" w:cstheme="minorHAnsi"/>
          <w:color w:val="000000"/>
          <w:sz w:val="24"/>
          <w:szCs w:val="24"/>
          <w:lang w:eastAsia="pl-PL"/>
        </w:rPr>
        <w:t>Całkowita wysokość podstawy do wyznaczania składek na fundusz przymusowej restrukturyzacji banków należnych za 202</w:t>
      </w:r>
      <w:r w:rsidR="00326CCC">
        <w:rPr>
          <w:rFonts w:eastAsia="Times New Roman" w:cstheme="minorHAnsi"/>
          <w:color w:val="000000"/>
          <w:sz w:val="24"/>
          <w:szCs w:val="24"/>
          <w:lang w:eastAsia="pl-PL"/>
        </w:rPr>
        <w:t>6</w:t>
      </w:r>
      <w:r w:rsidRPr="00E25134">
        <w:rPr>
          <w:rFonts w:eastAsia="Times New Roman" w:cstheme="minorHAnsi"/>
          <w:color w:val="000000"/>
          <w:sz w:val="24"/>
          <w:szCs w:val="24"/>
          <w:lang w:eastAsia="pl-PL"/>
        </w:rPr>
        <w:t> r. została wyznaczona w oparciu o dane finansowe wg stanu na 31 grudnia 202</w:t>
      </w:r>
      <w:r w:rsidR="00326CCC">
        <w:rPr>
          <w:rFonts w:eastAsia="Times New Roman" w:cstheme="minorHAnsi"/>
          <w:color w:val="000000"/>
          <w:sz w:val="24"/>
          <w:szCs w:val="24"/>
          <w:lang w:eastAsia="pl-PL"/>
        </w:rPr>
        <w:t>4</w:t>
      </w:r>
      <w:r w:rsidRPr="00E25134">
        <w:rPr>
          <w:rFonts w:eastAsia="Times New Roman" w:cstheme="minorHAnsi"/>
          <w:color w:val="000000"/>
          <w:sz w:val="24"/>
          <w:szCs w:val="24"/>
          <w:lang w:eastAsia="pl-PL"/>
        </w:rPr>
        <w:t> r., lub w przypadku podmiotów o innym dniu bilansowym sprawozdania rocznego wg stanu na 31 marca 202</w:t>
      </w:r>
      <w:r w:rsidR="00326CCC">
        <w:rPr>
          <w:rFonts w:eastAsia="Times New Roman" w:cstheme="minorHAnsi"/>
          <w:color w:val="000000"/>
          <w:sz w:val="24"/>
          <w:szCs w:val="24"/>
          <w:lang w:eastAsia="pl-PL"/>
        </w:rPr>
        <w:t>5</w:t>
      </w:r>
      <w:r w:rsidR="00323DBA" w:rsidRPr="00E25134">
        <w:rPr>
          <w:rFonts w:eastAsia="Times New Roman" w:cstheme="minorHAnsi"/>
          <w:color w:val="000000"/>
          <w:sz w:val="24"/>
          <w:szCs w:val="24"/>
          <w:lang w:eastAsia="pl-PL"/>
        </w:rPr>
        <w:t> </w:t>
      </w:r>
      <w:r w:rsidRPr="00E25134">
        <w:rPr>
          <w:rFonts w:eastAsia="Times New Roman" w:cstheme="minorHAnsi"/>
          <w:color w:val="000000"/>
          <w:sz w:val="24"/>
          <w:szCs w:val="24"/>
          <w:lang w:eastAsia="pl-PL"/>
        </w:rPr>
        <w:t>r.</w:t>
      </w:r>
      <w:r w:rsidR="00D02391">
        <w:rPr>
          <w:rFonts w:eastAsia="Times New Roman" w:cstheme="minorHAnsi"/>
          <w:color w:val="000000"/>
          <w:sz w:val="24"/>
          <w:szCs w:val="24"/>
          <w:lang w:eastAsia="pl-PL"/>
        </w:rPr>
        <w:t xml:space="preserve"> oraz w przypadku nowopowstałych podmiotów </w:t>
      </w:r>
      <w:r w:rsidR="00D02391" w:rsidRPr="00E25134">
        <w:rPr>
          <w:rFonts w:eastAsia="Times New Roman" w:cstheme="minorHAnsi"/>
          <w:color w:val="000000"/>
          <w:sz w:val="24"/>
          <w:szCs w:val="24"/>
          <w:lang w:eastAsia="pl-PL"/>
        </w:rPr>
        <w:t>wg stanu na 31 </w:t>
      </w:r>
      <w:r w:rsidR="00D02391">
        <w:rPr>
          <w:rFonts w:eastAsia="Times New Roman" w:cstheme="minorHAnsi"/>
          <w:color w:val="000000"/>
          <w:sz w:val="24"/>
          <w:szCs w:val="24"/>
          <w:lang w:eastAsia="pl-PL"/>
        </w:rPr>
        <w:t>grudnia</w:t>
      </w:r>
      <w:r w:rsidR="00D02391" w:rsidRPr="00E25134">
        <w:rPr>
          <w:rFonts w:eastAsia="Times New Roman" w:cstheme="minorHAnsi"/>
          <w:color w:val="000000"/>
          <w:sz w:val="24"/>
          <w:szCs w:val="24"/>
          <w:lang w:eastAsia="pl-PL"/>
        </w:rPr>
        <w:t xml:space="preserve"> 202</w:t>
      </w:r>
      <w:r w:rsidR="00D02391">
        <w:rPr>
          <w:rFonts w:eastAsia="Times New Roman" w:cstheme="minorHAnsi"/>
          <w:color w:val="000000"/>
          <w:sz w:val="24"/>
          <w:szCs w:val="24"/>
          <w:lang w:eastAsia="pl-PL"/>
        </w:rPr>
        <w:t>5</w:t>
      </w:r>
      <w:r w:rsidR="00D02391" w:rsidRPr="00E25134">
        <w:rPr>
          <w:rFonts w:eastAsia="Times New Roman" w:cstheme="minorHAnsi"/>
          <w:color w:val="000000"/>
          <w:sz w:val="24"/>
          <w:szCs w:val="24"/>
          <w:lang w:eastAsia="pl-PL"/>
        </w:rPr>
        <w:t> r.</w:t>
      </w:r>
      <w:r w:rsidR="00E9582E" w:rsidRPr="00E25134">
        <w:rPr>
          <w:rFonts w:eastAsia="Times New Roman" w:cstheme="minorHAnsi"/>
          <w:color w:val="000000"/>
          <w:sz w:val="24"/>
          <w:szCs w:val="24"/>
          <w:lang w:eastAsia="pl-PL"/>
        </w:rPr>
        <w:t xml:space="preserve">, </w:t>
      </w:r>
      <w:r w:rsidRPr="00E25134">
        <w:rPr>
          <w:rFonts w:eastAsia="Times New Roman" w:cstheme="minorHAnsi"/>
          <w:color w:val="000000"/>
          <w:sz w:val="24"/>
          <w:szCs w:val="24"/>
          <w:lang w:eastAsia="pl-PL"/>
        </w:rPr>
        <w:t xml:space="preserve">i wynosiła </w:t>
      </w:r>
      <w:r w:rsidR="003D71CB" w:rsidRPr="00E25134">
        <w:rPr>
          <w:rFonts w:eastAsia="Times New Roman" w:cstheme="minorHAnsi"/>
          <w:color w:val="000000"/>
          <w:sz w:val="24"/>
          <w:szCs w:val="24"/>
          <w:lang w:eastAsia="pl-PL"/>
        </w:rPr>
        <w:t xml:space="preserve"> </w:t>
      </w:r>
      <w:r w:rsidR="00E43AD1" w:rsidRPr="00E43AD1">
        <w:rPr>
          <w:rFonts w:eastAsia="Times New Roman" w:cstheme="minorHAnsi"/>
          <w:color w:val="000000"/>
          <w:sz w:val="24"/>
          <w:szCs w:val="24"/>
          <w:lang w:eastAsia="pl-PL"/>
        </w:rPr>
        <w:t xml:space="preserve">1 014 328 780 </w:t>
      </w:r>
      <w:r w:rsidRPr="00E25134">
        <w:rPr>
          <w:rFonts w:eastAsia="Times New Roman" w:cstheme="minorHAnsi"/>
          <w:color w:val="000000"/>
          <w:sz w:val="24"/>
          <w:szCs w:val="24"/>
          <w:lang w:eastAsia="pl-PL"/>
        </w:rPr>
        <w:t xml:space="preserve">tys. zł. </w:t>
      </w:r>
    </w:p>
    <w:tbl>
      <w:tblPr>
        <w:tblStyle w:val="Tabela-Siatka"/>
        <w:tblW w:w="0" w:type="auto"/>
        <w:tblLook w:val="04A0" w:firstRow="1" w:lastRow="0" w:firstColumn="1" w:lastColumn="0" w:noHBand="0" w:noVBand="1"/>
      </w:tblPr>
      <w:tblGrid>
        <w:gridCol w:w="8359"/>
        <w:gridCol w:w="1559"/>
      </w:tblGrid>
      <w:tr w:rsidR="00895F4A" w:rsidRPr="00E25134" w14:paraId="63290FBB" w14:textId="77777777" w:rsidTr="004F65A8">
        <w:trPr>
          <w:trHeight w:val="232"/>
        </w:trPr>
        <w:tc>
          <w:tcPr>
            <w:tcW w:w="8359" w:type="dxa"/>
            <w:shd w:val="clear" w:color="auto" w:fill="E7EDF4"/>
            <w:vAlign w:val="center"/>
          </w:tcPr>
          <w:p w14:paraId="3917F69C" w14:textId="77777777" w:rsidR="00895F4A" w:rsidRPr="00E25134" w:rsidRDefault="00895F4A" w:rsidP="00895F4A">
            <w:pPr>
              <w:jc w:val="center"/>
              <w:rPr>
                <w:rFonts w:eastAsia="Times New Roman" w:cstheme="minorHAnsi"/>
                <w:b/>
                <w:color w:val="000000"/>
                <w:szCs w:val="24"/>
                <w:lang w:eastAsia="pl-PL"/>
              </w:rPr>
            </w:pPr>
            <w:r w:rsidRPr="00E25134">
              <w:rPr>
                <w:rFonts w:eastAsia="Times New Roman" w:cstheme="minorHAnsi"/>
                <w:b/>
                <w:color w:val="000000"/>
                <w:szCs w:val="24"/>
                <w:lang w:eastAsia="pl-PL"/>
              </w:rPr>
              <w:t>Pozycja</w:t>
            </w:r>
          </w:p>
        </w:tc>
        <w:tc>
          <w:tcPr>
            <w:tcW w:w="1559" w:type="dxa"/>
            <w:shd w:val="clear" w:color="auto" w:fill="E7EDF4"/>
          </w:tcPr>
          <w:p w14:paraId="675C8361" w14:textId="77777777" w:rsidR="00895F4A" w:rsidRPr="00E25134" w:rsidRDefault="00895F4A" w:rsidP="00895F4A">
            <w:pPr>
              <w:jc w:val="center"/>
              <w:rPr>
                <w:rFonts w:eastAsia="Times New Roman" w:cstheme="minorHAnsi"/>
                <w:b/>
                <w:color w:val="000000"/>
                <w:szCs w:val="24"/>
                <w:lang w:eastAsia="pl-PL"/>
              </w:rPr>
            </w:pPr>
            <w:r w:rsidRPr="00E25134">
              <w:rPr>
                <w:rFonts w:eastAsia="Times New Roman" w:cstheme="minorHAnsi"/>
                <w:b/>
                <w:color w:val="000000"/>
                <w:szCs w:val="24"/>
                <w:lang w:eastAsia="pl-PL"/>
              </w:rPr>
              <w:t>tys. zł.</w:t>
            </w:r>
          </w:p>
        </w:tc>
      </w:tr>
      <w:tr w:rsidR="00895F4A" w:rsidRPr="00E25134" w14:paraId="10FC4898" w14:textId="77777777" w:rsidTr="004F65A8">
        <w:trPr>
          <w:trHeight w:val="232"/>
        </w:trPr>
        <w:tc>
          <w:tcPr>
            <w:tcW w:w="8359" w:type="dxa"/>
            <w:shd w:val="clear" w:color="auto" w:fill="F5F7FB"/>
            <w:vAlign w:val="center"/>
          </w:tcPr>
          <w:p w14:paraId="394D5D90" w14:textId="77777777" w:rsidR="00895F4A" w:rsidRPr="00E25134" w:rsidRDefault="00895F4A" w:rsidP="00895F4A">
            <w:pPr>
              <w:rPr>
                <w:rFonts w:eastAsia="Times New Roman" w:cstheme="minorHAnsi"/>
                <w:color w:val="000000"/>
                <w:szCs w:val="24"/>
                <w:lang w:eastAsia="pl-PL"/>
              </w:rPr>
            </w:pPr>
            <w:r w:rsidRPr="00E25134">
              <w:rPr>
                <w:rFonts w:eastAsia="Times New Roman" w:cstheme="minorHAnsi"/>
                <w:color w:val="000000"/>
                <w:szCs w:val="24"/>
                <w:lang w:eastAsia="pl-PL"/>
              </w:rPr>
              <w:t>Pasywa</w:t>
            </w:r>
          </w:p>
        </w:tc>
        <w:tc>
          <w:tcPr>
            <w:tcW w:w="1559" w:type="dxa"/>
            <w:shd w:val="clear" w:color="auto" w:fill="F5F7FB"/>
            <w:vAlign w:val="center"/>
          </w:tcPr>
          <w:p w14:paraId="680B34FA" w14:textId="47F80C07" w:rsidR="00895F4A" w:rsidRPr="00A66C26" w:rsidRDefault="0065785C" w:rsidP="006453CA">
            <w:pPr>
              <w:jc w:val="right"/>
              <w:rPr>
                <w:rFonts w:eastAsia="Times New Roman" w:cstheme="minorHAnsi"/>
                <w:color w:val="000000"/>
                <w:lang w:eastAsia="pl-PL"/>
              </w:rPr>
            </w:pPr>
            <w:r w:rsidRPr="0065785C">
              <w:rPr>
                <w:rFonts w:eastAsia="Times New Roman" w:cstheme="minorHAnsi"/>
                <w:color w:val="000000"/>
                <w:lang w:eastAsia="pl-PL"/>
              </w:rPr>
              <w:t>2 633 655 19</w:t>
            </w:r>
            <w:r w:rsidR="008D3AA9">
              <w:rPr>
                <w:rFonts w:eastAsia="Times New Roman" w:cstheme="minorHAnsi"/>
                <w:color w:val="000000"/>
                <w:lang w:eastAsia="pl-PL"/>
              </w:rPr>
              <w:t>6</w:t>
            </w:r>
            <w:r w:rsidRPr="0065785C">
              <w:rPr>
                <w:rFonts w:eastAsia="Times New Roman" w:cstheme="minorHAnsi"/>
                <w:color w:val="000000"/>
                <w:lang w:eastAsia="pl-PL"/>
              </w:rPr>
              <w:t xml:space="preserve"> </w:t>
            </w:r>
            <w:r w:rsidR="006453CA" w:rsidRPr="00A66C26">
              <w:rPr>
                <w:rFonts w:eastAsia="Times New Roman" w:cstheme="minorHAnsi"/>
                <w:color w:val="000000"/>
                <w:lang w:eastAsia="pl-PL"/>
              </w:rPr>
              <w:t xml:space="preserve"> </w:t>
            </w:r>
          </w:p>
        </w:tc>
      </w:tr>
      <w:tr w:rsidR="00895F4A" w:rsidRPr="00E25134" w14:paraId="74D4A0D5" w14:textId="77777777" w:rsidTr="004F65A8">
        <w:trPr>
          <w:trHeight w:val="244"/>
        </w:trPr>
        <w:tc>
          <w:tcPr>
            <w:tcW w:w="8359" w:type="dxa"/>
            <w:shd w:val="clear" w:color="auto" w:fill="F5F7FB"/>
            <w:vAlign w:val="center"/>
          </w:tcPr>
          <w:p w14:paraId="3979A6AB" w14:textId="77777777" w:rsidR="00895F4A" w:rsidRPr="00E25134" w:rsidRDefault="004F65A8" w:rsidP="00C23FE1">
            <w:pPr>
              <w:ind w:left="708"/>
              <w:rPr>
                <w:rFonts w:eastAsia="Times New Roman" w:cstheme="minorHAnsi"/>
                <w:color w:val="000000"/>
                <w:szCs w:val="24"/>
                <w:lang w:eastAsia="pl-PL"/>
              </w:rPr>
            </w:pPr>
            <w:r w:rsidRPr="00E25134">
              <w:rPr>
                <w:rFonts w:eastAsia="Times New Roman" w:cstheme="minorHAnsi"/>
                <w:color w:val="000000"/>
                <w:szCs w:val="24"/>
                <w:lang w:eastAsia="pl-PL"/>
              </w:rPr>
              <w:t>(</w:t>
            </w:r>
            <w:r w:rsidR="00C23FE1" w:rsidRPr="00E25134">
              <w:rPr>
                <w:rFonts w:eastAsia="Times New Roman" w:cstheme="minorHAnsi"/>
                <w:color w:val="000000"/>
                <w:szCs w:val="24"/>
                <w:lang w:eastAsia="pl-PL"/>
              </w:rPr>
              <w:t>-</w:t>
            </w:r>
            <w:r w:rsidRPr="00E25134">
              <w:rPr>
                <w:rFonts w:eastAsia="Times New Roman" w:cstheme="minorHAnsi"/>
                <w:color w:val="000000"/>
                <w:szCs w:val="24"/>
                <w:lang w:eastAsia="pl-PL"/>
              </w:rPr>
              <w:t>)</w:t>
            </w:r>
            <w:r w:rsidR="00C23FE1" w:rsidRPr="00E25134">
              <w:rPr>
                <w:rFonts w:eastAsia="Times New Roman" w:cstheme="minorHAnsi"/>
                <w:color w:val="000000"/>
                <w:szCs w:val="24"/>
                <w:lang w:eastAsia="pl-PL"/>
              </w:rPr>
              <w:t xml:space="preserve"> </w:t>
            </w:r>
            <w:r w:rsidR="00895F4A" w:rsidRPr="00E25134">
              <w:rPr>
                <w:rFonts w:eastAsia="Times New Roman" w:cstheme="minorHAnsi"/>
                <w:color w:val="000000"/>
                <w:szCs w:val="24"/>
                <w:lang w:eastAsia="pl-PL"/>
              </w:rPr>
              <w:t>Fundusze własne</w:t>
            </w:r>
          </w:p>
        </w:tc>
        <w:tc>
          <w:tcPr>
            <w:tcW w:w="1559" w:type="dxa"/>
            <w:shd w:val="clear" w:color="auto" w:fill="F5F7FB"/>
            <w:vAlign w:val="center"/>
          </w:tcPr>
          <w:p w14:paraId="0AFBB17C" w14:textId="4484D78C" w:rsidR="00895F4A" w:rsidRPr="00A66C26" w:rsidRDefault="0065785C" w:rsidP="00A855E1">
            <w:pPr>
              <w:jc w:val="right"/>
              <w:rPr>
                <w:rFonts w:cstheme="minorHAnsi"/>
                <w:color w:val="000000"/>
              </w:rPr>
            </w:pPr>
            <w:r w:rsidRPr="0065785C">
              <w:rPr>
                <w:rFonts w:cstheme="minorHAnsi"/>
                <w:color w:val="000000"/>
              </w:rPr>
              <w:t>227 834 077</w:t>
            </w:r>
          </w:p>
        </w:tc>
      </w:tr>
      <w:tr w:rsidR="00895F4A" w:rsidRPr="00E25134" w14:paraId="2A9D05B5" w14:textId="77777777" w:rsidTr="004F65A8">
        <w:trPr>
          <w:trHeight w:val="232"/>
        </w:trPr>
        <w:tc>
          <w:tcPr>
            <w:tcW w:w="8359" w:type="dxa"/>
            <w:shd w:val="clear" w:color="auto" w:fill="F5F7FB"/>
            <w:vAlign w:val="center"/>
          </w:tcPr>
          <w:p w14:paraId="1C2B13D3" w14:textId="77777777" w:rsidR="00895F4A" w:rsidRPr="00E25134" w:rsidRDefault="004F65A8" w:rsidP="00C23FE1">
            <w:pPr>
              <w:ind w:left="708"/>
              <w:rPr>
                <w:rFonts w:eastAsia="Times New Roman" w:cstheme="minorHAnsi"/>
                <w:color w:val="000000"/>
                <w:szCs w:val="24"/>
                <w:lang w:eastAsia="pl-PL"/>
              </w:rPr>
            </w:pPr>
            <w:r w:rsidRPr="00E25134">
              <w:rPr>
                <w:rFonts w:eastAsia="Times New Roman" w:cstheme="minorHAnsi"/>
                <w:color w:val="000000"/>
                <w:szCs w:val="24"/>
                <w:lang w:eastAsia="pl-PL"/>
              </w:rPr>
              <w:t>(</w:t>
            </w:r>
            <w:r w:rsidR="00C23FE1" w:rsidRPr="00E25134">
              <w:rPr>
                <w:rFonts w:eastAsia="Times New Roman" w:cstheme="minorHAnsi"/>
                <w:color w:val="000000"/>
                <w:szCs w:val="24"/>
                <w:lang w:eastAsia="pl-PL"/>
              </w:rPr>
              <w:t>-</w:t>
            </w:r>
            <w:r w:rsidRPr="00E25134">
              <w:rPr>
                <w:rFonts w:eastAsia="Times New Roman" w:cstheme="minorHAnsi"/>
                <w:color w:val="000000"/>
                <w:szCs w:val="24"/>
                <w:lang w:eastAsia="pl-PL"/>
              </w:rPr>
              <w:t>)</w:t>
            </w:r>
            <w:r w:rsidR="00C23FE1" w:rsidRPr="00E25134">
              <w:rPr>
                <w:rFonts w:eastAsia="Times New Roman" w:cstheme="minorHAnsi"/>
                <w:color w:val="000000"/>
                <w:szCs w:val="24"/>
                <w:lang w:eastAsia="pl-PL"/>
              </w:rPr>
              <w:t xml:space="preserve"> </w:t>
            </w:r>
            <w:r w:rsidR="00895F4A" w:rsidRPr="00E25134">
              <w:rPr>
                <w:rFonts w:eastAsia="Times New Roman" w:cstheme="minorHAnsi"/>
                <w:color w:val="000000"/>
                <w:szCs w:val="24"/>
                <w:lang w:eastAsia="pl-PL"/>
              </w:rPr>
              <w:t>Środki gwarantowane</w:t>
            </w:r>
          </w:p>
        </w:tc>
        <w:tc>
          <w:tcPr>
            <w:tcW w:w="1559" w:type="dxa"/>
            <w:shd w:val="clear" w:color="auto" w:fill="F5F7FB"/>
            <w:vAlign w:val="center"/>
          </w:tcPr>
          <w:p w14:paraId="3BA456A7" w14:textId="4CBC1704" w:rsidR="00895F4A" w:rsidRPr="00A66C26" w:rsidRDefault="0065785C" w:rsidP="00EB219B">
            <w:pPr>
              <w:jc w:val="right"/>
              <w:rPr>
                <w:rFonts w:cstheme="minorHAnsi"/>
                <w:color w:val="000000"/>
              </w:rPr>
            </w:pPr>
            <w:r w:rsidRPr="0065785C">
              <w:rPr>
                <w:rFonts w:cstheme="minorHAnsi"/>
                <w:color w:val="000000"/>
              </w:rPr>
              <w:t>1 283 160 942</w:t>
            </w:r>
          </w:p>
        </w:tc>
      </w:tr>
      <w:tr w:rsidR="00895F4A" w:rsidRPr="00E25134" w14:paraId="648EB106" w14:textId="77777777" w:rsidTr="004F65A8">
        <w:trPr>
          <w:trHeight w:val="232"/>
        </w:trPr>
        <w:tc>
          <w:tcPr>
            <w:tcW w:w="8359" w:type="dxa"/>
            <w:shd w:val="clear" w:color="auto" w:fill="F5F7FB"/>
            <w:vAlign w:val="center"/>
          </w:tcPr>
          <w:p w14:paraId="64F0BDB4" w14:textId="77777777" w:rsidR="00895F4A" w:rsidRPr="00E25134" w:rsidRDefault="004F65A8" w:rsidP="00C23FE1">
            <w:pPr>
              <w:ind w:left="708"/>
              <w:rPr>
                <w:rFonts w:eastAsia="Times New Roman" w:cstheme="minorHAnsi"/>
                <w:color w:val="000000"/>
                <w:szCs w:val="24"/>
                <w:lang w:eastAsia="pl-PL"/>
              </w:rPr>
            </w:pPr>
            <w:r w:rsidRPr="00E25134">
              <w:rPr>
                <w:rFonts w:eastAsia="Times New Roman" w:cstheme="minorHAnsi"/>
                <w:color w:val="000000"/>
                <w:szCs w:val="24"/>
                <w:lang w:eastAsia="pl-PL"/>
              </w:rPr>
              <w:t>(</w:t>
            </w:r>
            <w:r w:rsidR="00C23FE1" w:rsidRPr="00E25134">
              <w:rPr>
                <w:rFonts w:eastAsia="Times New Roman" w:cstheme="minorHAnsi"/>
                <w:color w:val="000000"/>
                <w:szCs w:val="24"/>
                <w:lang w:eastAsia="pl-PL"/>
              </w:rPr>
              <w:t>-</w:t>
            </w:r>
            <w:r w:rsidRPr="00E25134">
              <w:rPr>
                <w:rFonts w:eastAsia="Times New Roman" w:cstheme="minorHAnsi"/>
                <w:color w:val="000000"/>
                <w:szCs w:val="24"/>
                <w:lang w:eastAsia="pl-PL"/>
              </w:rPr>
              <w:t>)</w:t>
            </w:r>
            <w:r w:rsidR="00C23FE1" w:rsidRPr="00E25134">
              <w:rPr>
                <w:rFonts w:eastAsia="Times New Roman" w:cstheme="minorHAnsi"/>
                <w:color w:val="000000"/>
                <w:szCs w:val="24"/>
                <w:lang w:eastAsia="pl-PL"/>
              </w:rPr>
              <w:t xml:space="preserve"> </w:t>
            </w:r>
            <w:r w:rsidR="00895F4A" w:rsidRPr="00E25134">
              <w:rPr>
                <w:rFonts w:eastAsia="Times New Roman" w:cstheme="minorHAnsi"/>
                <w:color w:val="000000"/>
                <w:szCs w:val="24"/>
                <w:lang w:eastAsia="pl-PL"/>
              </w:rPr>
              <w:t>Wyłączenia (art. 5 ust. 1 i 2 rozporządzenia nr 2015/63)</w:t>
            </w:r>
          </w:p>
        </w:tc>
        <w:tc>
          <w:tcPr>
            <w:tcW w:w="1559" w:type="dxa"/>
            <w:shd w:val="clear" w:color="auto" w:fill="F5F7FB"/>
            <w:vAlign w:val="center"/>
          </w:tcPr>
          <w:p w14:paraId="02AA9124" w14:textId="178768A7" w:rsidR="00895F4A" w:rsidRPr="00EB219B" w:rsidRDefault="0065785C" w:rsidP="00A855E1">
            <w:pPr>
              <w:jc w:val="right"/>
              <w:rPr>
                <w:rFonts w:eastAsia="Times New Roman" w:cstheme="minorHAnsi"/>
                <w:color w:val="000000"/>
                <w:highlight w:val="yellow"/>
                <w:lang w:eastAsia="pl-PL"/>
              </w:rPr>
            </w:pPr>
            <w:r w:rsidRPr="0065785C">
              <w:rPr>
                <w:rFonts w:eastAsia="Times New Roman" w:cstheme="minorHAnsi"/>
                <w:color w:val="000000"/>
                <w:lang w:eastAsia="pl-PL"/>
              </w:rPr>
              <w:t>116 672 94</w:t>
            </w:r>
            <w:r w:rsidR="008D3AA9">
              <w:rPr>
                <w:rFonts w:eastAsia="Times New Roman" w:cstheme="minorHAnsi"/>
                <w:color w:val="000000"/>
                <w:lang w:eastAsia="pl-PL"/>
              </w:rPr>
              <w:t>5</w:t>
            </w:r>
          </w:p>
        </w:tc>
      </w:tr>
      <w:tr w:rsidR="00895F4A" w:rsidRPr="00E25134" w14:paraId="4F1CA81D" w14:textId="77777777" w:rsidTr="004F65A8">
        <w:trPr>
          <w:trHeight w:val="232"/>
        </w:trPr>
        <w:tc>
          <w:tcPr>
            <w:tcW w:w="8359" w:type="dxa"/>
            <w:shd w:val="clear" w:color="auto" w:fill="F5F7FB"/>
            <w:vAlign w:val="center"/>
          </w:tcPr>
          <w:p w14:paraId="512A0DB2" w14:textId="1233C610" w:rsidR="00895F4A" w:rsidRPr="00E25134" w:rsidRDefault="004F65A8" w:rsidP="00603766">
            <w:pPr>
              <w:ind w:left="708"/>
              <w:rPr>
                <w:rFonts w:eastAsia="Times New Roman" w:cstheme="minorHAnsi"/>
                <w:color w:val="000000"/>
                <w:szCs w:val="24"/>
                <w:lang w:eastAsia="pl-PL"/>
              </w:rPr>
            </w:pPr>
            <w:r w:rsidRPr="00E25134">
              <w:rPr>
                <w:rFonts w:eastAsia="Times New Roman" w:cstheme="minorHAnsi"/>
                <w:color w:val="000000"/>
                <w:szCs w:val="24"/>
                <w:lang w:eastAsia="pl-PL"/>
              </w:rPr>
              <w:t>(</w:t>
            </w:r>
            <w:r w:rsidR="00603766">
              <w:rPr>
                <w:rFonts w:eastAsia="Times New Roman" w:cstheme="minorHAnsi"/>
                <w:color w:val="000000"/>
                <w:szCs w:val="24"/>
                <w:lang w:eastAsia="pl-PL"/>
              </w:rPr>
              <w:t>+</w:t>
            </w:r>
            <w:r w:rsidRPr="00E25134">
              <w:rPr>
                <w:rFonts w:eastAsia="Times New Roman" w:cstheme="minorHAnsi"/>
                <w:color w:val="000000"/>
                <w:szCs w:val="24"/>
                <w:lang w:eastAsia="pl-PL"/>
              </w:rPr>
              <w:t>)</w:t>
            </w:r>
            <w:r w:rsidR="00C23FE1" w:rsidRPr="00E25134">
              <w:rPr>
                <w:rFonts w:eastAsia="Times New Roman" w:cstheme="minorHAnsi"/>
                <w:color w:val="000000"/>
                <w:szCs w:val="24"/>
                <w:lang w:eastAsia="pl-PL"/>
              </w:rPr>
              <w:t xml:space="preserve"> </w:t>
            </w:r>
            <w:r w:rsidR="00895F4A" w:rsidRPr="00E25134">
              <w:rPr>
                <w:rFonts w:eastAsia="Times New Roman" w:cstheme="minorHAnsi"/>
                <w:color w:val="000000"/>
                <w:szCs w:val="24"/>
                <w:lang w:eastAsia="pl-PL"/>
              </w:rPr>
              <w:t>Korekta instrumentów pochodnych (art. 5 ust. 3 i 4 rozporządzenia nr 2015/63)</w:t>
            </w:r>
          </w:p>
        </w:tc>
        <w:tc>
          <w:tcPr>
            <w:tcW w:w="1559" w:type="dxa"/>
            <w:shd w:val="clear" w:color="auto" w:fill="F5F7FB"/>
            <w:vAlign w:val="center"/>
          </w:tcPr>
          <w:p w14:paraId="555C4054" w14:textId="682501A3" w:rsidR="00895F4A" w:rsidRPr="001977D6" w:rsidRDefault="0065785C" w:rsidP="00A855E1">
            <w:pPr>
              <w:jc w:val="right"/>
              <w:rPr>
                <w:rFonts w:ascii="Tahoma" w:hAnsi="Tahoma" w:cs="Tahoma"/>
                <w:color w:val="000000"/>
                <w:sz w:val="20"/>
                <w:szCs w:val="20"/>
              </w:rPr>
            </w:pPr>
            <w:r w:rsidRPr="0065785C">
              <w:rPr>
                <w:rFonts w:ascii="Tahoma" w:hAnsi="Tahoma" w:cs="Tahoma"/>
                <w:color w:val="000000"/>
                <w:sz w:val="20"/>
                <w:szCs w:val="20"/>
              </w:rPr>
              <w:t>7 357 739</w:t>
            </w:r>
          </w:p>
        </w:tc>
      </w:tr>
      <w:tr w:rsidR="00895F4A" w:rsidRPr="00E25134" w14:paraId="7FBA4F12" w14:textId="77777777" w:rsidTr="004F65A8">
        <w:trPr>
          <w:trHeight w:val="232"/>
        </w:trPr>
        <w:tc>
          <w:tcPr>
            <w:tcW w:w="8359" w:type="dxa"/>
            <w:shd w:val="clear" w:color="auto" w:fill="F5F7FB"/>
            <w:vAlign w:val="center"/>
          </w:tcPr>
          <w:p w14:paraId="196A32F5" w14:textId="4FFCB22C" w:rsidR="00895F4A" w:rsidRPr="00E25134" w:rsidRDefault="00A26120" w:rsidP="00895F4A">
            <w:pPr>
              <w:rPr>
                <w:rFonts w:eastAsia="Times New Roman" w:cstheme="minorHAnsi"/>
                <w:color w:val="000000"/>
                <w:szCs w:val="24"/>
                <w:lang w:eastAsia="pl-PL"/>
              </w:rPr>
            </w:pPr>
            <w:r w:rsidRPr="00E25134">
              <w:rPr>
                <w:rFonts w:eastAsia="Times New Roman" w:cstheme="minorHAnsi"/>
                <w:color w:val="000000"/>
                <w:szCs w:val="24"/>
                <w:lang w:eastAsia="pl-PL"/>
              </w:rPr>
              <w:t>R</w:t>
            </w:r>
            <w:r w:rsidR="00895F4A" w:rsidRPr="00E25134">
              <w:rPr>
                <w:rFonts w:eastAsia="Times New Roman" w:cstheme="minorHAnsi"/>
                <w:color w:val="000000"/>
                <w:szCs w:val="24"/>
                <w:lang w:eastAsia="pl-PL"/>
              </w:rPr>
              <w:t>azem</w:t>
            </w:r>
          </w:p>
        </w:tc>
        <w:tc>
          <w:tcPr>
            <w:tcW w:w="1559" w:type="dxa"/>
            <w:shd w:val="clear" w:color="auto" w:fill="F5F7FB"/>
            <w:vAlign w:val="center"/>
          </w:tcPr>
          <w:p w14:paraId="1A31B35A" w14:textId="00D433A0" w:rsidR="00895F4A" w:rsidRPr="001977D6" w:rsidRDefault="0065785C" w:rsidP="003C438C">
            <w:pPr>
              <w:jc w:val="right"/>
              <w:rPr>
                <w:rFonts w:eastAsia="Times New Roman" w:cstheme="minorHAnsi"/>
                <w:color w:val="000000"/>
                <w:szCs w:val="24"/>
                <w:lang w:eastAsia="pl-PL"/>
              </w:rPr>
            </w:pPr>
            <w:r w:rsidRPr="0065785C">
              <w:rPr>
                <w:rFonts w:eastAsia="Times New Roman" w:cstheme="minorHAnsi"/>
                <w:color w:val="000000"/>
                <w:szCs w:val="24"/>
                <w:lang w:eastAsia="pl-PL"/>
              </w:rPr>
              <w:t>1 013 344 970</w:t>
            </w:r>
            <w:r w:rsidR="003C438C" w:rsidRPr="001977D6">
              <w:rPr>
                <w:rFonts w:eastAsia="Times New Roman" w:cstheme="minorHAnsi"/>
                <w:color w:val="000000"/>
                <w:szCs w:val="24"/>
                <w:lang w:eastAsia="pl-PL"/>
              </w:rPr>
              <w:t xml:space="preserve"> </w:t>
            </w:r>
          </w:p>
        </w:tc>
      </w:tr>
      <w:tr w:rsidR="00895F4A" w:rsidRPr="00E25134" w14:paraId="75498002" w14:textId="77777777" w:rsidTr="004F65A8">
        <w:trPr>
          <w:trHeight w:val="232"/>
        </w:trPr>
        <w:tc>
          <w:tcPr>
            <w:tcW w:w="8359" w:type="dxa"/>
            <w:shd w:val="clear" w:color="auto" w:fill="E7EDF4"/>
            <w:vAlign w:val="center"/>
          </w:tcPr>
          <w:p w14:paraId="29785B67" w14:textId="77777777" w:rsidR="00895F4A" w:rsidRPr="00E25134" w:rsidRDefault="00895F4A" w:rsidP="00323DBA">
            <w:pPr>
              <w:rPr>
                <w:rFonts w:eastAsia="Times New Roman" w:cstheme="minorHAnsi"/>
                <w:b/>
                <w:color w:val="000000"/>
                <w:szCs w:val="24"/>
                <w:lang w:eastAsia="pl-PL"/>
              </w:rPr>
            </w:pPr>
            <w:r w:rsidRPr="00E25134">
              <w:rPr>
                <w:rFonts w:eastAsia="Times New Roman" w:cstheme="minorHAnsi"/>
                <w:b/>
                <w:color w:val="000000"/>
                <w:szCs w:val="24"/>
                <w:lang w:eastAsia="pl-PL"/>
              </w:rPr>
              <w:t xml:space="preserve">Razem po </w:t>
            </w:r>
            <w:r w:rsidR="00323DBA" w:rsidRPr="00E25134">
              <w:rPr>
                <w:rFonts w:eastAsia="Times New Roman" w:cstheme="minorHAnsi"/>
                <w:b/>
                <w:color w:val="000000"/>
                <w:szCs w:val="24"/>
                <w:lang w:eastAsia="pl-PL"/>
              </w:rPr>
              <w:t>wyeliminowaniu wpływu</w:t>
            </w:r>
            <w:r w:rsidRPr="00E25134">
              <w:rPr>
                <w:rFonts w:eastAsia="Times New Roman" w:cstheme="minorHAnsi"/>
                <w:b/>
                <w:color w:val="000000"/>
                <w:szCs w:val="24"/>
                <w:lang w:eastAsia="pl-PL"/>
              </w:rPr>
              <w:t xml:space="preserve"> ujemnych podstaw*</w:t>
            </w:r>
          </w:p>
        </w:tc>
        <w:tc>
          <w:tcPr>
            <w:tcW w:w="1559" w:type="dxa"/>
            <w:shd w:val="clear" w:color="auto" w:fill="E7EDF4"/>
            <w:vAlign w:val="center"/>
          </w:tcPr>
          <w:p w14:paraId="09574D9F" w14:textId="1D7834B7" w:rsidR="00895F4A" w:rsidRPr="001977D6" w:rsidRDefault="0065785C" w:rsidP="00A26120">
            <w:pPr>
              <w:jc w:val="right"/>
              <w:rPr>
                <w:rFonts w:eastAsia="Times New Roman" w:cstheme="minorHAnsi"/>
                <w:b/>
                <w:color w:val="000000"/>
                <w:szCs w:val="24"/>
                <w:lang w:eastAsia="pl-PL"/>
              </w:rPr>
            </w:pPr>
            <w:r w:rsidRPr="0065785C">
              <w:rPr>
                <w:rFonts w:eastAsia="Times New Roman" w:cstheme="minorHAnsi"/>
                <w:b/>
                <w:color w:val="000000"/>
                <w:szCs w:val="24"/>
                <w:lang w:eastAsia="pl-PL"/>
              </w:rPr>
              <w:t>1 014 328 78</w:t>
            </w:r>
            <w:r w:rsidR="008D3AA9">
              <w:rPr>
                <w:rFonts w:eastAsia="Times New Roman" w:cstheme="minorHAnsi"/>
                <w:b/>
                <w:color w:val="000000"/>
                <w:szCs w:val="24"/>
                <w:lang w:eastAsia="pl-PL"/>
              </w:rPr>
              <w:t>1</w:t>
            </w:r>
            <w:r w:rsidRPr="0065785C">
              <w:rPr>
                <w:rFonts w:eastAsia="Times New Roman" w:cstheme="minorHAnsi"/>
                <w:b/>
                <w:color w:val="000000"/>
                <w:szCs w:val="24"/>
                <w:lang w:eastAsia="pl-PL"/>
              </w:rPr>
              <w:t xml:space="preserve"> </w:t>
            </w:r>
            <w:r w:rsidR="00A26120" w:rsidRPr="001977D6">
              <w:rPr>
                <w:rFonts w:eastAsia="Times New Roman" w:cstheme="minorHAnsi"/>
                <w:b/>
                <w:color w:val="000000"/>
                <w:szCs w:val="24"/>
                <w:lang w:eastAsia="pl-PL"/>
              </w:rPr>
              <w:t xml:space="preserve"> </w:t>
            </w:r>
          </w:p>
        </w:tc>
      </w:tr>
    </w:tbl>
    <w:p w14:paraId="1FC0D639" w14:textId="77777777" w:rsidR="00895F4A" w:rsidRPr="00E25134" w:rsidRDefault="00895F4A" w:rsidP="00895F4A">
      <w:pPr>
        <w:shd w:val="clear" w:color="auto" w:fill="FFFFFF"/>
        <w:spacing w:before="312" w:after="312" w:line="240" w:lineRule="auto"/>
        <w:rPr>
          <w:rFonts w:eastAsia="Times New Roman" w:cstheme="minorHAnsi"/>
          <w:color w:val="000000"/>
          <w:szCs w:val="24"/>
          <w:lang w:eastAsia="pl-PL"/>
        </w:rPr>
      </w:pPr>
      <w:r w:rsidRPr="00E25134">
        <w:rPr>
          <w:rFonts w:eastAsia="Times New Roman" w:cstheme="minorHAnsi"/>
          <w:color w:val="000000"/>
          <w:szCs w:val="24"/>
          <w:lang w:eastAsia="pl-PL"/>
        </w:rPr>
        <w:t>* Zgodnie z interpretacją EUNB 2018_4002 (https://www.eba.europa.eu/single-rule-book-qa/-/qna/view/publicId/2018_4002)</w:t>
      </w:r>
    </w:p>
    <w:p w14:paraId="43E7082C" w14:textId="1D749C06" w:rsidR="00187094" w:rsidRPr="00EC2007" w:rsidRDefault="0025472C" w:rsidP="00187094">
      <w:pPr>
        <w:shd w:val="clear" w:color="auto" w:fill="FFFFFF"/>
        <w:spacing w:before="312" w:after="312" w:line="240" w:lineRule="auto"/>
        <w:rPr>
          <w:rFonts w:eastAsia="Times New Roman" w:cstheme="minorHAnsi"/>
          <w:color w:val="000000"/>
          <w:sz w:val="24"/>
          <w:szCs w:val="24"/>
          <w:lang w:eastAsia="pl-PL"/>
        </w:rPr>
      </w:pPr>
      <w:r>
        <w:rPr>
          <w:rFonts w:eastAsia="Times New Roman" w:cstheme="minorHAnsi"/>
          <w:color w:val="000000"/>
          <w:sz w:val="24"/>
          <w:szCs w:val="24"/>
          <w:lang w:eastAsia="pl-PL"/>
        </w:rPr>
        <w:t>Suma w</w:t>
      </w:r>
      <w:r w:rsidR="00187094" w:rsidRPr="00EC2007">
        <w:rPr>
          <w:rFonts w:eastAsia="Times New Roman" w:cstheme="minorHAnsi"/>
          <w:color w:val="000000"/>
          <w:sz w:val="24"/>
          <w:szCs w:val="24"/>
          <w:lang w:eastAsia="pl-PL"/>
        </w:rPr>
        <w:t>ysokoś</w:t>
      </w:r>
      <w:r>
        <w:rPr>
          <w:rFonts w:eastAsia="Times New Roman" w:cstheme="minorHAnsi"/>
          <w:color w:val="000000"/>
          <w:sz w:val="24"/>
          <w:szCs w:val="24"/>
          <w:lang w:eastAsia="pl-PL"/>
        </w:rPr>
        <w:t>ci</w:t>
      </w:r>
      <w:r w:rsidR="00187094" w:rsidRPr="00EC2007">
        <w:rPr>
          <w:rFonts w:eastAsia="Times New Roman" w:cstheme="minorHAnsi"/>
          <w:color w:val="000000"/>
          <w:sz w:val="24"/>
          <w:szCs w:val="24"/>
          <w:lang w:eastAsia="pl-PL"/>
        </w:rPr>
        <w:t xml:space="preserve"> podstaw do wyznaczania składek od podmiotów, które spełniły kryteria określone w art. 10 ust. 1-7 rozporządzenia nr 2015/63 wyniosła </w:t>
      </w:r>
      <w:r w:rsidR="00187094" w:rsidRPr="00EC2007">
        <w:rPr>
          <w:rFonts w:eastAsia="Times New Roman" w:cstheme="minorHAnsi"/>
          <w:color w:val="000000"/>
          <w:sz w:val="24"/>
          <w:szCs w:val="24"/>
          <w:lang w:eastAsia="pl-PL"/>
        </w:rPr>
        <w:br/>
      </w:r>
      <w:r w:rsidR="00193E78" w:rsidRPr="00193E78">
        <w:rPr>
          <w:rFonts w:eastAsia="Times New Roman" w:cstheme="minorHAnsi"/>
          <w:color w:val="000000"/>
          <w:sz w:val="24"/>
          <w:szCs w:val="24"/>
          <w:lang w:eastAsia="pl-PL"/>
        </w:rPr>
        <w:t>40</w:t>
      </w:r>
      <w:r w:rsidR="00193E78">
        <w:rPr>
          <w:rFonts w:eastAsia="Times New Roman" w:cstheme="minorHAnsi"/>
          <w:color w:val="000000"/>
          <w:sz w:val="24"/>
          <w:szCs w:val="24"/>
          <w:lang w:eastAsia="pl-PL"/>
        </w:rPr>
        <w:t xml:space="preserve"> </w:t>
      </w:r>
      <w:r w:rsidR="00193E78" w:rsidRPr="00193E78">
        <w:rPr>
          <w:rFonts w:eastAsia="Times New Roman" w:cstheme="minorHAnsi"/>
          <w:color w:val="000000"/>
          <w:sz w:val="24"/>
          <w:szCs w:val="24"/>
          <w:lang w:eastAsia="pl-PL"/>
        </w:rPr>
        <w:t>786</w:t>
      </w:r>
      <w:r w:rsidR="00193E78">
        <w:rPr>
          <w:rFonts w:eastAsia="Times New Roman" w:cstheme="minorHAnsi"/>
          <w:color w:val="000000"/>
          <w:sz w:val="24"/>
          <w:szCs w:val="24"/>
          <w:lang w:eastAsia="pl-PL"/>
        </w:rPr>
        <w:t xml:space="preserve"> </w:t>
      </w:r>
      <w:r w:rsidR="00193E78" w:rsidRPr="00193E78">
        <w:rPr>
          <w:rFonts w:eastAsia="Times New Roman" w:cstheme="minorHAnsi"/>
          <w:color w:val="000000"/>
          <w:sz w:val="24"/>
          <w:szCs w:val="24"/>
          <w:lang w:eastAsia="pl-PL"/>
        </w:rPr>
        <w:t>27</w:t>
      </w:r>
      <w:r w:rsidR="00E969A4">
        <w:rPr>
          <w:rFonts w:eastAsia="Times New Roman" w:cstheme="minorHAnsi"/>
          <w:color w:val="000000"/>
          <w:sz w:val="24"/>
          <w:szCs w:val="24"/>
          <w:lang w:eastAsia="pl-PL"/>
        </w:rPr>
        <w:t>3</w:t>
      </w:r>
      <w:r w:rsidR="00193E78">
        <w:rPr>
          <w:rFonts w:eastAsia="Times New Roman" w:cstheme="minorHAnsi"/>
          <w:color w:val="000000"/>
          <w:sz w:val="24"/>
          <w:szCs w:val="24"/>
          <w:lang w:eastAsia="pl-PL"/>
        </w:rPr>
        <w:t xml:space="preserve"> </w:t>
      </w:r>
      <w:r w:rsidR="00187094" w:rsidRPr="00EC2007">
        <w:rPr>
          <w:rFonts w:eastAsia="Times New Roman" w:cstheme="minorHAnsi"/>
          <w:color w:val="000000"/>
          <w:sz w:val="24"/>
          <w:szCs w:val="24"/>
          <w:lang w:eastAsia="pl-PL"/>
        </w:rPr>
        <w:t xml:space="preserve">tys. zł. </w:t>
      </w:r>
    </w:p>
    <w:p w14:paraId="1131540F" w14:textId="77777777" w:rsidR="00187094" w:rsidRPr="002206A4" w:rsidRDefault="00187094" w:rsidP="00187094">
      <w:pPr>
        <w:shd w:val="clear" w:color="auto" w:fill="FFFFFF"/>
        <w:spacing w:before="240" w:after="240" w:line="240" w:lineRule="auto"/>
        <w:outlineLvl w:val="3"/>
        <w:rPr>
          <w:rFonts w:eastAsia="Times New Roman" w:cstheme="minorHAnsi"/>
          <w:b/>
          <w:bCs/>
          <w:color w:val="264C80"/>
          <w:sz w:val="33"/>
          <w:szCs w:val="33"/>
          <w:lang w:eastAsia="pl-PL"/>
        </w:rPr>
      </w:pPr>
      <w:r w:rsidRPr="002206A4">
        <w:rPr>
          <w:rFonts w:eastAsia="Times New Roman" w:cstheme="minorHAnsi"/>
          <w:color w:val="264C80"/>
          <w:sz w:val="33"/>
          <w:szCs w:val="33"/>
          <w:lang w:eastAsia="pl-PL"/>
        </w:rPr>
        <w:t>Informacja o łącznej kwocie składek ryczałtowych wyznaczonych dla małych podmiotów i łącznej kwoci</w:t>
      </w:r>
      <w:r w:rsidR="00DB7099" w:rsidRPr="002206A4">
        <w:rPr>
          <w:rFonts w:eastAsia="Times New Roman" w:cstheme="minorHAnsi"/>
          <w:color w:val="264C80"/>
          <w:sz w:val="33"/>
          <w:szCs w:val="33"/>
          <w:lang w:eastAsia="pl-PL"/>
        </w:rPr>
        <w:t>e składek od banków hipotecznyc</w:t>
      </w:r>
      <w:r w:rsidR="00636ACE" w:rsidRPr="002206A4">
        <w:rPr>
          <w:rFonts w:eastAsia="Times New Roman" w:cstheme="minorHAnsi"/>
          <w:color w:val="264C80"/>
          <w:sz w:val="33"/>
          <w:szCs w:val="33"/>
          <w:lang w:eastAsia="pl-PL"/>
        </w:rPr>
        <w:t>h</w:t>
      </w:r>
    </w:p>
    <w:p w14:paraId="2C726F49" w14:textId="12C2EA76" w:rsidR="00187094" w:rsidRPr="00EC2007" w:rsidRDefault="00187094" w:rsidP="00187094">
      <w:pPr>
        <w:shd w:val="clear" w:color="auto" w:fill="FFFFFF"/>
        <w:spacing w:before="312" w:after="312" w:line="240" w:lineRule="auto"/>
        <w:rPr>
          <w:rFonts w:eastAsia="Times New Roman" w:cstheme="minorHAnsi"/>
          <w:color w:val="000000"/>
          <w:sz w:val="24"/>
          <w:szCs w:val="24"/>
          <w:lang w:eastAsia="pl-PL"/>
        </w:rPr>
      </w:pPr>
      <w:r w:rsidRPr="00EC2007">
        <w:rPr>
          <w:rFonts w:eastAsia="Times New Roman" w:cstheme="minorHAnsi"/>
          <w:color w:val="000000"/>
          <w:sz w:val="24"/>
          <w:szCs w:val="24"/>
          <w:lang w:eastAsia="pl-PL"/>
        </w:rPr>
        <w:t>Łączna kwota składek na fundusz przymusowej restrukturyzacji banków naliczonych za 202</w:t>
      </w:r>
      <w:r w:rsidR="0025472C">
        <w:rPr>
          <w:rFonts w:eastAsia="Times New Roman" w:cstheme="minorHAnsi"/>
          <w:color w:val="000000"/>
          <w:sz w:val="24"/>
          <w:szCs w:val="24"/>
          <w:lang w:eastAsia="pl-PL"/>
        </w:rPr>
        <w:t>6</w:t>
      </w:r>
      <w:r w:rsidRPr="00EC2007">
        <w:rPr>
          <w:rFonts w:eastAsia="Times New Roman" w:cstheme="minorHAnsi"/>
          <w:color w:val="000000"/>
          <w:sz w:val="24"/>
          <w:szCs w:val="24"/>
          <w:lang w:eastAsia="pl-PL"/>
        </w:rPr>
        <w:t> r. od podmiotów, które spełniły kryteria określone w art. 10 ust. 1-7 rozporządzenia nr 2015/63 wyniosła</w:t>
      </w:r>
      <w:r w:rsidR="0025472C">
        <w:rPr>
          <w:rFonts w:eastAsia="Times New Roman" w:cstheme="minorHAnsi"/>
          <w:color w:val="000000"/>
          <w:sz w:val="24"/>
          <w:szCs w:val="24"/>
          <w:lang w:eastAsia="pl-PL"/>
        </w:rPr>
        <w:t xml:space="preserve"> </w:t>
      </w:r>
      <w:r w:rsidR="0025472C" w:rsidRPr="0025472C">
        <w:rPr>
          <w:rFonts w:eastAsia="Times New Roman" w:cstheme="minorHAnsi"/>
          <w:color w:val="000000"/>
          <w:sz w:val="24"/>
          <w:szCs w:val="24"/>
          <w:lang w:eastAsia="pl-PL"/>
        </w:rPr>
        <w:t>3</w:t>
      </w:r>
      <w:r w:rsidR="0025472C">
        <w:rPr>
          <w:rFonts w:eastAsia="Times New Roman" w:cstheme="minorHAnsi"/>
          <w:color w:val="000000"/>
          <w:sz w:val="24"/>
          <w:szCs w:val="24"/>
          <w:lang w:eastAsia="pl-PL"/>
        </w:rPr>
        <w:t xml:space="preserve"> </w:t>
      </w:r>
      <w:r w:rsidR="0025472C" w:rsidRPr="0025472C">
        <w:rPr>
          <w:rFonts w:eastAsia="Times New Roman" w:cstheme="minorHAnsi"/>
          <w:color w:val="000000"/>
          <w:sz w:val="24"/>
          <w:szCs w:val="24"/>
          <w:lang w:eastAsia="pl-PL"/>
        </w:rPr>
        <w:t>34</w:t>
      </w:r>
      <w:r w:rsidR="00E969A4">
        <w:rPr>
          <w:rFonts w:eastAsia="Times New Roman" w:cstheme="minorHAnsi"/>
          <w:color w:val="000000"/>
          <w:sz w:val="24"/>
          <w:szCs w:val="24"/>
          <w:lang w:eastAsia="pl-PL"/>
        </w:rPr>
        <w:t>2</w:t>
      </w:r>
      <w:r w:rsidR="00243C89" w:rsidRPr="00EC2007">
        <w:rPr>
          <w:rFonts w:eastAsia="Times New Roman" w:cstheme="minorHAnsi"/>
          <w:color w:val="000000"/>
          <w:sz w:val="24"/>
          <w:szCs w:val="24"/>
          <w:lang w:eastAsia="pl-PL"/>
        </w:rPr>
        <w:t xml:space="preserve"> </w:t>
      </w:r>
      <w:r w:rsidRPr="00EC2007">
        <w:rPr>
          <w:rFonts w:eastAsia="Times New Roman" w:cstheme="minorHAnsi"/>
          <w:color w:val="000000"/>
          <w:sz w:val="24"/>
          <w:szCs w:val="24"/>
          <w:lang w:eastAsia="pl-PL"/>
        </w:rPr>
        <w:t xml:space="preserve">tys. zł. </w:t>
      </w:r>
    </w:p>
    <w:p w14:paraId="3D2400F6" w14:textId="2FC61248" w:rsidR="00187094" w:rsidRPr="00E25134" w:rsidRDefault="004202DE" w:rsidP="00187094">
      <w:pPr>
        <w:shd w:val="clear" w:color="auto" w:fill="FFFFFF"/>
        <w:spacing w:before="312" w:after="312" w:line="240" w:lineRule="auto"/>
        <w:rPr>
          <w:rFonts w:eastAsia="Times New Roman" w:cstheme="minorHAnsi"/>
          <w:color w:val="000000"/>
          <w:sz w:val="24"/>
          <w:szCs w:val="24"/>
          <w:lang w:eastAsia="pl-PL"/>
        </w:rPr>
      </w:pPr>
      <w:r w:rsidRPr="00EC2007">
        <w:rPr>
          <w:rFonts w:eastAsia="Times New Roman" w:cstheme="minorHAnsi"/>
          <w:color w:val="000000"/>
          <w:sz w:val="24"/>
          <w:szCs w:val="24"/>
          <w:lang w:eastAsia="pl-PL"/>
        </w:rPr>
        <w:lastRenderedPageBreak/>
        <w:t>Wysokość podstawy do wyznaczania składek od </w:t>
      </w:r>
      <w:r>
        <w:rPr>
          <w:rFonts w:eastAsia="Times New Roman" w:cstheme="minorHAnsi"/>
          <w:color w:val="000000"/>
          <w:sz w:val="24"/>
          <w:szCs w:val="24"/>
          <w:lang w:eastAsia="pl-PL"/>
        </w:rPr>
        <w:t>banków hipotecznych</w:t>
      </w:r>
      <w:r w:rsidR="003B4416">
        <w:rPr>
          <w:rFonts w:eastAsia="Times New Roman" w:cstheme="minorHAnsi"/>
          <w:color w:val="000000"/>
          <w:sz w:val="24"/>
          <w:szCs w:val="24"/>
          <w:lang w:eastAsia="pl-PL"/>
        </w:rPr>
        <w:t xml:space="preserve">, których </w:t>
      </w:r>
      <w:r w:rsidR="003B4416" w:rsidRPr="003B4416">
        <w:rPr>
          <w:rFonts w:eastAsia="Times New Roman" w:cstheme="minorHAnsi"/>
          <w:color w:val="000000"/>
          <w:sz w:val="24"/>
          <w:szCs w:val="24"/>
          <w:lang w:eastAsia="pl-PL"/>
        </w:rPr>
        <w:t>składka została określona z uwzględnieniem art. 11 ust. 1 rozporządzenia nr 2015/63</w:t>
      </w:r>
      <w:r w:rsidR="003B4416">
        <w:rPr>
          <w:rFonts w:eastAsia="Times New Roman" w:cstheme="minorHAnsi"/>
          <w:color w:val="000000"/>
          <w:sz w:val="24"/>
          <w:szCs w:val="24"/>
          <w:lang w:eastAsia="pl-PL"/>
        </w:rPr>
        <w:t>,</w:t>
      </w:r>
      <w:r>
        <w:rPr>
          <w:rFonts w:eastAsia="Times New Roman" w:cstheme="minorHAnsi"/>
          <w:color w:val="000000"/>
          <w:sz w:val="24"/>
          <w:szCs w:val="24"/>
          <w:lang w:eastAsia="pl-PL"/>
        </w:rPr>
        <w:t xml:space="preserve"> wyniosła </w:t>
      </w:r>
      <w:r w:rsidR="00977AC9" w:rsidRPr="00977AC9">
        <w:rPr>
          <w:rFonts w:eastAsia="Times New Roman" w:cstheme="minorHAnsi"/>
          <w:color w:val="000000"/>
          <w:sz w:val="24"/>
          <w:szCs w:val="24"/>
          <w:lang w:eastAsia="pl-PL"/>
        </w:rPr>
        <w:t xml:space="preserve"> 25 337 849</w:t>
      </w:r>
      <w:r w:rsidR="00977AC9">
        <w:rPr>
          <w:rFonts w:eastAsia="Times New Roman" w:cstheme="minorHAnsi"/>
          <w:color w:val="000000"/>
          <w:sz w:val="24"/>
          <w:szCs w:val="24"/>
          <w:lang w:eastAsia="pl-PL"/>
        </w:rPr>
        <w:t xml:space="preserve"> </w:t>
      </w:r>
      <w:r>
        <w:rPr>
          <w:rFonts w:eastAsia="Times New Roman" w:cstheme="minorHAnsi"/>
          <w:color w:val="000000"/>
          <w:sz w:val="24"/>
          <w:szCs w:val="24"/>
          <w:lang w:eastAsia="pl-PL"/>
        </w:rPr>
        <w:t xml:space="preserve">tys. zł. </w:t>
      </w:r>
      <w:r w:rsidR="00187094" w:rsidRPr="00E25134">
        <w:rPr>
          <w:rFonts w:eastAsia="Times New Roman" w:cstheme="minorHAnsi"/>
          <w:color w:val="000000"/>
          <w:sz w:val="24"/>
          <w:szCs w:val="24"/>
          <w:lang w:eastAsia="pl-PL"/>
        </w:rPr>
        <w:t>Łączna kwota składek naliczonych za 202</w:t>
      </w:r>
      <w:r w:rsidR="00E969A4">
        <w:rPr>
          <w:rFonts w:eastAsia="Times New Roman" w:cstheme="minorHAnsi"/>
          <w:color w:val="000000"/>
          <w:sz w:val="24"/>
          <w:szCs w:val="24"/>
          <w:lang w:eastAsia="pl-PL"/>
        </w:rPr>
        <w:t>6</w:t>
      </w:r>
      <w:r w:rsidR="00187094" w:rsidRPr="00E25134">
        <w:rPr>
          <w:rFonts w:eastAsia="Times New Roman" w:cstheme="minorHAnsi"/>
          <w:color w:val="000000"/>
          <w:sz w:val="24"/>
          <w:szCs w:val="24"/>
          <w:lang w:eastAsia="pl-PL"/>
        </w:rPr>
        <w:t xml:space="preserve"> r. od banków hipotecznych wyniosła: </w:t>
      </w:r>
      <w:r w:rsidR="00977AC9" w:rsidRPr="00977AC9">
        <w:rPr>
          <w:rFonts w:eastAsia="Times New Roman" w:cstheme="minorHAnsi"/>
          <w:color w:val="000000"/>
          <w:sz w:val="24"/>
          <w:szCs w:val="24"/>
          <w:lang w:eastAsia="pl-PL"/>
        </w:rPr>
        <w:t>34 035</w:t>
      </w:r>
      <w:r w:rsidR="00F25B02" w:rsidRPr="00E25134">
        <w:rPr>
          <w:rFonts w:eastAsia="Times New Roman" w:cstheme="minorHAnsi"/>
          <w:color w:val="000000"/>
          <w:sz w:val="24"/>
          <w:szCs w:val="24"/>
          <w:lang w:eastAsia="pl-PL"/>
        </w:rPr>
        <w:t xml:space="preserve"> </w:t>
      </w:r>
      <w:r w:rsidR="00187094" w:rsidRPr="00E25134">
        <w:rPr>
          <w:rFonts w:eastAsia="Times New Roman" w:cstheme="minorHAnsi"/>
          <w:color w:val="000000"/>
          <w:sz w:val="24"/>
          <w:szCs w:val="24"/>
          <w:lang w:eastAsia="pl-PL"/>
        </w:rPr>
        <w:t xml:space="preserve">tys. zł. </w:t>
      </w:r>
    </w:p>
    <w:p w14:paraId="2945B51C" w14:textId="77777777" w:rsidR="00187094" w:rsidRPr="00E25134" w:rsidRDefault="00187094" w:rsidP="00187094">
      <w:pPr>
        <w:shd w:val="clear" w:color="auto" w:fill="FFFFFF"/>
        <w:spacing w:before="240" w:after="240" w:line="240" w:lineRule="auto"/>
        <w:outlineLvl w:val="3"/>
        <w:rPr>
          <w:rFonts w:eastAsia="Times New Roman" w:cstheme="minorHAnsi"/>
          <w:b/>
          <w:bCs/>
          <w:color w:val="264C80"/>
          <w:sz w:val="33"/>
          <w:szCs w:val="33"/>
          <w:lang w:eastAsia="pl-PL"/>
        </w:rPr>
      </w:pPr>
      <w:r w:rsidRPr="00E25134">
        <w:rPr>
          <w:rFonts w:eastAsia="Times New Roman" w:cstheme="minorHAnsi"/>
          <w:color w:val="264C80"/>
          <w:sz w:val="33"/>
          <w:szCs w:val="33"/>
          <w:lang w:eastAsia="pl-PL"/>
        </w:rPr>
        <w:t>Informacje niezbędne do wyznaczania łącznej oceny profilu ryzyka</w:t>
      </w:r>
    </w:p>
    <w:p w14:paraId="7241C18B" w14:textId="1C291698" w:rsidR="00187094" w:rsidRPr="00E25134" w:rsidRDefault="00187094" w:rsidP="00187094">
      <w:pPr>
        <w:shd w:val="clear" w:color="auto" w:fill="FFFFFF"/>
        <w:spacing w:before="312" w:after="312" w:line="240" w:lineRule="auto"/>
        <w:rPr>
          <w:rFonts w:eastAsia="Times New Roman" w:cstheme="minorHAnsi"/>
          <w:color w:val="000000"/>
          <w:sz w:val="24"/>
          <w:szCs w:val="24"/>
          <w:lang w:eastAsia="pl-PL"/>
        </w:rPr>
      </w:pPr>
      <w:r w:rsidRPr="00E25134">
        <w:rPr>
          <w:rFonts w:eastAsia="Times New Roman" w:cstheme="minorHAnsi"/>
          <w:color w:val="000000"/>
          <w:sz w:val="24"/>
          <w:szCs w:val="24"/>
          <w:lang w:eastAsia="pl-PL"/>
        </w:rPr>
        <w:t>Minimalne i maksymalne wartości wskaźników ryzyka dla podmiotów</w:t>
      </w:r>
      <w:r w:rsidR="00F248FC">
        <w:rPr>
          <w:rFonts w:eastAsia="Times New Roman" w:cstheme="minorHAnsi"/>
          <w:color w:val="000000"/>
          <w:sz w:val="24"/>
          <w:szCs w:val="24"/>
          <w:lang w:eastAsia="pl-PL"/>
        </w:rPr>
        <w:t xml:space="preserve"> (banków i firm inwestycyjnych)</w:t>
      </w:r>
      <w:r w:rsidRPr="00E25134">
        <w:rPr>
          <w:rFonts w:eastAsia="Times New Roman" w:cstheme="minorHAnsi"/>
          <w:color w:val="000000"/>
          <w:sz w:val="24"/>
          <w:szCs w:val="24"/>
          <w:lang w:eastAsia="pl-PL"/>
        </w:rPr>
        <w:t>, które zostały zobowiązane do wniesienia składek na fundusz przymusowej restrukturyzacji banków za 202</w:t>
      </w:r>
      <w:r w:rsidR="00E969A4">
        <w:rPr>
          <w:rFonts w:eastAsia="Times New Roman" w:cstheme="minorHAnsi"/>
          <w:color w:val="000000"/>
          <w:sz w:val="24"/>
          <w:szCs w:val="24"/>
          <w:lang w:eastAsia="pl-PL"/>
        </w:rPr>
        <w:t>6</w:t>
      </w:r>
      <w:r w:rsidRPr="00E25134">
        <w:rPr>
          <w:rFonts w:eastAsia="Times New Roman" w:cstheme="minorHAnsi"/>
          <w:color w:val="000000"/>
          <w:sz w:val="24"/>
          <w:szCs w:val="24"/>
          <w:lang w:eastAsia="pl-PL"/>
        </w:rPr>
        <w:t> r. w oparciu o ryzyko zawiera poniższa tabela:</w:t>
      </w:r>
    </w:p>
    <w:tbl>
      <w:tblPr>
        <w:tblW w:w="15225" w:type="dxa"/>
        <w:tblLook w:val="04A0" w:firstRow="1" w:lastRow="0" w:firstColumn="1" w:lastColumn="0" w:noHBand="0" w:noVBand="1"/>
      </w:tblPr>
      <w:tblGrid>
        <w:gridCol w:w="634"/>
        <w:gridCol w:w="2694"/>
        <w:gridCol w:w="5058"/>
        <w:gridCol w:w="1583"/>
        <w:gridCol w:w="2039"/>
        <w:gridCol w:w="1620"/>
        <w:gridCol w:w="1597"/>
      </w:tblGrid>
      <w:tr w:rsidR="00476B39" w:rsidRPr="00E25134" w14:paraId="7021D552" w14:textId="77777777" w:rsidTr="00476B39">
        <w:trPr>
          <w:trHeight w:val="574"/>
        </w:trPr>
        <w:tc>
          <w:tcPr>
            <w:tcW w:w="3328" w:type="dxa"/>
            <w:gridSpan w:val="2"/>
            <w:tcBorders>
              <w:top w:val="single" w:sz="6" w:space="0" w:color="FFFFFF"/>
              <w:left w:val="single" w:sz="6" w:space="0" w:color="FFFFFF"/>
              <w:bottom w:val="single" w:sz="6" w:space="0" w:color="FFFFFF"/>
              <w:right w:val="single" w:sz="6" w:space="0" w:color="FFFFFF"/>
            </w:tcBorders>
            <w:shd w:val="clear" w:color="auto" w:fill="E7EDF4"/>
            <w:tcMar>
              <w:top w:w="120" w:type="dxa"/>
              <w:left w:w="120" w:type="dxa"/>
              <w:bottom w:w="120" w:type="dxa"/>
              <w:right w:w="120" w:type="dxa"/>
            </w:tcMar>
            <w:hideMark/>
          </w:tcPr>
          <w:p w14:paraId="5FAAF18C" w14:textId="77777777" w:rsidR="00187094" w:rsidRPr="001C6253" w:rsidRDefault="00187094">
            <w:pPr>
              <w:spacing w:after="0" w:line="240" w:lineRule="auto"/>
              <w:rPr>
                <w:rFonts w:eastAsia="Times New Roman" w:cstheme="minorHAnsi"/>
                <w:sz w:val="24"/>
                <w:szCs w:val="24"/>
                <w:lang w:eastAsia="pl-PL"/>
              </w:rPr>
            </w:pPr>
            <w:r w:rsidRPr="001C6253">
              <w:rPr>
                <w:rFonts w:eastAsia="Times New Roman" w:cstheme="minorHAnsi"/>
                <w:sz w:val="24"/>
                <w:szCs w:val="24"/>
                <w:lang w:eastAsia="pl-PL"/>
              </w:rPr>
              <w:t>Kategoria</w:t>
            </w:r>
          </w:p>
        </w:tc>
        <w:tc>
          <w:tcPr>
            <w:tcW w:w="5058" w:type="dxa"/>
            <w:tcBorders>
              <w:top w:val="single" w:sz="6" w:space="0" w:color="FFFFFF"/>
              <w:left w:val="single" w:sz="6" w:space="0" w:color="FFFFFF"/>
              <w:bottom w:val="single" w:sz="6" w:space="0" w:color="FFFFFF"/>
              <w:right w:val="single" w:sz="6" w:space="0" w:color="FFFFFF"/>
            </w:tcBorders>
            <w:shd w:val="clear" w:color="auto" w:fill="E7EDF4"/>
            <w:tcMar>
              <w:top w:w="120" w:type="dxa"/>
              <w:left w:w="120" w:type="dxa"/>
              <w:bottom w:w="120" w:type="dxa"/>
              <w:right w:w="120" w:type="dxa"/>
            </w:tcMar>
            <w:hideMark/>
          </w:tcPr>
          <w:p w14:paraId="3C017209" w14:textId="77777777" w:rsidR="00187094" w:rsidRPr="001C6253" w:rsidRDefault="00187094">
            <w:pPr>
              <w:spacing w:after="0" w:line="240" w:lineRule="auto"/>
              <w:rPr>
                <w:rFonts w:eastAsia="Times New Roman" w:cstheme="minorHAnsi"/>
                <w:sz w:val="24"/>
                <w:szCs w:val="24"/>
                <w:lang w:eastAsia="pl-PL"/>
              </w:rPr>
            </w:pPr>
            <w:r w:rsidRPr="001C6253">
              <w:rPr>
                <w:rFonts w:eastAsia="Times New Roman" w:cstheme="minorHAnsi"/>
                <w:sz w:val="24"/>
                <w:szCs w:val="24"/>
                <w:lang w:eastAsia="pl-PL"/>
              </w:rPr>
              <w:t>Wskaźnik ryzyka</w:t>
            </w:r>
          </w:p>
        </w:tc>
        <w:tc>
          <w:tcPr>
            <w:tcW w:w="1583" w:type="dxa"/>
            <w:tcBorders>
              <w:top w:val="single" w:sz="6" w:space="0" w:color="FFFFFF"/>
              <w:left w:val="single" w:sz="6" w:space="0" w:color="FFFFFF"/>
              <w:bottom w:val="single" w:sz="6" w:space="0" w:color="FFFFFF"/>
              <w:right w:val="single" w:sz="6" w:space="0" w:color="FFFFFF"/>
            </w:tcBorders>
            <w:shd w:val="clear" w:color="auto" w:fill="E7EDF4"/>
            <w:tcMar>
              <w:top w:w="120" w:type="dxa"/>
              <w:left w:w="120" w:type="dxa"/>
              <w:bottom w:w="120" w:type="dxa"/>
              <w:right w:w="120" w:type="dxa"/>
            </w:tcMar>
            <w:hideMark/>
          </w:tcPr>
          <w:p w14:paraId="1E808582" w14:textId="77777777" w:rsidR="00187094" w:rsidRPr="001C6253" w:rsidRDefault="00187094">
            <w:pPr>
              <w:spacing w:after="0" w:line="240" w:lineRule="auto"/>
              <w:rPr>
                <w:rFonts w:eastAsia="Times New Roman" w:cstheme="minorHAnsi"/>
                <w:sz w:val="24"/>
                <w:szCs w:val="24"/>
                <w:lang w:eastAsia="pl-PL"/>
              </w:rPr>
            </w:pPr>
            <w:r w:rsidRPr="001C6253">
              <w:rPr>
                <w:rFonts w:eastAsia="Times New Roman" w:cstheme="minorHAnsi"/>
                <w:sz w:val="24"/>
                <w:szCs w:val="24"/>
                <w:lang w:eastAsia="pl-PL"/>
              </w:rPr>
              <w:t>Wartość minimalna</w:t>
            </w:r>
          </w:p>
        </w:tc>
        <w:tc>
          <w:tcPr>
            <w:tcW w:w="2039" w:type="dxa"/>
            <w:tcBorders>
              <w:top w:val="single" w:sz="6" w:space="0" w:color="FFFFFF"/>
              <w:left w:val="single" w:sz="6" w:space="0" w:color="FFFFFF"/>
              <w:bottom w:val="single" w:sz="6" w:space="0" w:color="FFFFFF"/>
              <w:right w:val="single" w:sz="6" w:space="0" w:color="FFFFFF"/>
            </w:tcBorders>
            <w:shd w:val="clear" w:color="auto" w:fill="E7EDF4"/>
            <w:tcMar>
              <w:top w:w="120" w:type="dxa"/>
              <w:left w:w="120" w:type="dxa"/>
              <w:bottom w:w="120" w:type="dxa"/>
              <w:right w:w="120" w:type="dxa"/>
            </w:tcMar>
            <w:hideMark/>
          </w:tcPr>
          <w:p w14:paraId="438E9595" w14:textId="77777777" w:rsidR="00187094" w:rsidRPr="001C6253" w:rsidRDefault="00187094">
            <w:pPr>
              <w:spacing w:after="0" w:line="240" w:lineRule="auto"/>
              <w:rPr>
                <w:rFonts w:eastAsia="Times New Roman" w:cstheme="minorHAnsi"/>
                <w:sz w:val="24"/>
                <w:szCs w:val="24"/>
                <w:lang w:eastAsia="pl-PL"/>
              </w:rPr>
            </w:pPr>
            <w:r w:rsidRPr="001C6253">
              <w:rPr>
                <w:rFonts w:eastAsia="Times New Roman" w:cstheme="minorHAnsi"/>
                <w:sz w:val="24"/>
                <w:szCs w:val="24"/>
                <w:lang w:eastAsia="pl-PL"/>
              </w:rPr>
              <w:t>Wartość maksymalna</w:t>
            </w:r>
          </w:p>
        </w:tc>
        <w:tc>
          <w:tcPr>
            <w:tcW w:w="1620" w:type="dxa"/>
            <w:tcBorders>
              <w:top w:val="single" w:sz="6" w:space="0" w:color="FFFFFF"/>
              <w:left w:val="single" w:sz="6" w:space="0" w:color="FFFFFF"/>
              <w:bottom w:val="single" w:sz="6" w:space="0" w:color="FFFFFF"/>
              <w:right w:val="single" w:sz="6" w:space="0" w:color="FFFFFF"/>
            </w:tcBorders>
            <w:shd w:val="clear" w:color="auto" w:fill="E7EDF4"/>
            <w:tcMar>
              <w:top w:w="120" w:type="dxa"/>
              <w:left w:w="120" w:type="dxa"/>
              <w:bottom w:w="120" w:type="dxa"/>
              <w:right w:w="120" w:type="dxa"/>
            </w:tcMar>
            <w:hideMark/>
          </w:tcPr>
          <w:p w14:paraId="500D484C" w14:textId="77777777" w:rsidR="00187094" w:rsidRPr="001C6253" w:rsidRDefault="00187094">
            <w:pPr>
              <w:spacing w:after="0" w:line="240" w:lineRule="auto"/>
              <w:rPr>
                <w:rFonts w:eastAsia="Times New Roman" w:cstheme="minorHAnsi"/>
                <w:sz w:val="24"/>
                <w:szCs w:val="24"/>
                <w:lang w:eastAsia="pl-PL"/>
              </w:rPr>
            </w:pPr>
            <w:r w:rsidRPr="001C6253">
              <w:rPr>
                <w:rFonts w:eastAsia="Times New Roman" w:cstheme="minorHAnsi"/>
                <w:sz w:val="24"/>
                <w:szCs w:val="24"/>
                <w:lang w:eastAsia="pl-PL"/>
              </w:rPr>
              <w:t>Mediana</w:t>
            </w:r>
          </w:p>
        </w:tc>
        <w:tc>
          <w:tcPr>
            <w:tcW w:w="1597" w:type="dxa"/>
            <w:tcBorders>
              <w:top w:val="single" w:sz="6" w:space="0" w:color="FFFFFF"/>
              <w:left w:val="single" w:sz="6" w:space="0" w:color="FFFFFF"/>
              <w:bottom w:val="single" w:sz="6" w:space="0" w:color="FFFFFF"/>
              <w:right w:val="single" w:sz="6" w:space="0" w:color="FFFFFF"/>
            </w:tcBorders>
            <w:shd w:val="clear" w:color="auto" w:fill="E7EDF4"/>
            <w:tcMar>
              <w:top w:w="120" w:type="dxa"/>
              <w:left w:w="120" w:type="dxa"/>
              <w:bottom w:w="120" w:type="dxa"/>
              <w:right w:w="120" w:type="dxa"/>
            </w:tcMar>
            <w:hideMark/>
          </w:tcPr>
          <w:p w14:paraId="289B7D47" w14:textId="77777777" w:rsidR="00187094" w:rsidRPr="001C6253" w:rsidRDefault="00187094">
            <w:pPr>
              <w:spacing w:after="0" w:line="240" w:lineRule="auto"/>
              <w:rPr>
                <w:rFonts w:eastAsia="Times New Roman" w:cstheme="minorHAnsi"/>
                <w:sz w:val="24"/>
                <w:szCs w:val="24"/>
                <w:lang w:eastAsia="pl-PL"/>
              </w:rPr>
            </w:pPr>
            <w:r w:rsidRPr="001C6253">
              <w:rPr>
                <w:rFonts w:eastAsia="Times New Roman" w:cstheme="minorHAnsi"/>
                <w:sz w:val="24"/>
                <w:szCs w:val="24"/>
                <w:lang w:eastAsia="pl-PL"/>
              </w:rPr>
              <w:t>Liczba przedziałów</w:t>
            </w:r>
          </w:p>
        </w:tc>
      </w:tr>
      <w:tr w:rsidR="00476B39" w:rsidRPr="00E25134" w14:paraId="5988E529" w14:textId="77777777" w:rsidTr="00476B39">
        <w:tc>
          <w:tcPr>
            <w:tcW w:w="634" w:type="dxa"/>
            <w:vMerge w:val="restart"/>
            <w:tcBorders>
              <w:top w:val="single" w:sz="6" w:space="0" w:color="FFFFFF"/>
              <w:left w:val="single" w:sz="6" w:space="0" w:color="FFFFFF"/>
              <w:bottom w:val="single" w:sz="6" w:space="0" w:color="FFFFFF"/>
              <w:right w:val="single" w:sz="6" w:space="0" w:color="FFFFFF"/>
            </w:tcBorders>
            <w:shd w:val="clear" w:color="auto" w:fill="F5F7FB"/>
            <w:tcMar>
              <w:top w:w="120" w:type="dxa"/>
              <w:left w:w="120" w:type="dxa"/>
              <w:bottom w:w="120" w:type="dxa"/>
              <w:right w:w="120" w:type="dxa"/>
            </w:tcMar>
            <w:hideMark/>
          </w:tcPr>
          <w:p w14:paraId="5D01A465" w14:textId="77777777" w:rsidR="00187094" w:rsidRPr="001C6253" w:rsidRDefault="00187094">
            <w:pPr>
              <w:spacing w:after="0" w:line="240" w:lineRule="auto"/>
              <w:rPr>
                <w:rFonts w:eastAsia="Times New Roman" w:cstheme="minorHAnsi"/>
                <w:sz w:val="24"/>
                <w:szCs w:val="24"/>
                <w:lang w:eastAsia="pl-PL"/>
              </w:rPr>
            </w:pPr>
            <w:r w:rsidRPr="001C6253">
              <w:rPr>
                <w:rFonts w:eastAsia="Times New Roman" w:cstheme="minorHAnsi"/>
                <w:sz w:val="24"/>
                <w:szCs w:val="24"/>
                <w:lang w:eastAsia="pl-PL"/>
              </w:rPr>
              <w:t>I</w:t>
            </w:r>
          </w:p>
        </w:tc>
        <w:tc>
          <w:tcPr>
            <w:tcW w:w="2694" w:type="dxa"/>
            <w:vMerge w:val="restart"/>
            <w:tcBorders>
              <w:top w:val="single" w:sz="6" w:space="0" w:color="FFFFFF"/>
              <w:left w:val="single" w:sz="6" w:space="0" w:color="FFFFFF"/>
              <w:bottom w:val="single" w:sz="6" w:space="0" w:color="FFFFFF"/>
              <w:right w:val="single" w:sz="6" w:space="0" w:color="FFFFFF"/>
            </w:tcBorders>
            <w:shd w:val="clear" w:color="auto" w:fill="F5F7FB"/>
            <w:tcMar>
              <w:top w:w="120" w:type="dxa"/>
              <w:left w:w="120" w:type="dxa"/>
              <w:bottom w:w="120" w:type="dxa"/>
              <w:right w:w="120" w:type="dxa"/>
            </w:tcMar>
            <w:hideMark/>
          </w:tcPr>
          <w:p w14:paraId="230CAF67" w14:textId="77777777" w:rsidR="00187094" w:rsidRPr="001C6253" w:rsidRDefault="00187094">
            <w:pPr>
              <w:spacing w:after="0" w:line="240" w:lineRule="auto"/>
              <w:rPr>
                <w:rFonts w:eastAsia="Times New Roman" w:cstheme="minorHAnsi"/>
                <w:sz w:val="24"/>
                <w:szCs w:val="24"/>
                <w:lang w:eastAsia="pl-PL"/>
              </w:rPr>
            </w:pPr>
            <w:r w:rsidRPr="001C6253">
              <w:rPr>
                <w:rFonts w:eastAsia="Times New Roman" w:cstheme="minorHAnsi"/>
                <w:sz w:val="24"/>
                <w:szCs w:val="24"/>
                <w:lang w:eastAsia="pl-PL"/>
              </w:rPr>
              <w:t>Ekspozycja na ryzyko</w:t>
            </w:r>
          </w:p>
        </w:tc>
        <w:tc>
          <w:tcPr>
            <w:tcW w:w="5058" w:type="dxa"/>
            <w:tcBorders>
              <w:top w:val="single" w:sz="6" w:space="0" w:color="FFFFFF"/>
              <w:left w:val="single" w:sz="6" w:space="0" w:color="FFFFFF"/>
              <w:bottom w:val="single" w:sz="6" w:space="0" w:color="FFFFFF"/>
              <w:right w:val="single" w:sz="6" w:space="0" w:color="FFFFFF"/>
            </w:tcBorders>
            <w:shd w:val="clear" w:color="auto" w:fill="F5F7FB"/>
            <w:tcMar>
              <w:top w:w="120" w:type="dxa"/>
              <w:left w:w="120" w:type="dxa"/>
              <w:bottom w:w="120" w:type="dxa"/>
              <w:right w:w="120" w:type="dxa"/>
            </w:tcMar>
            <w:hideMark/>
          </w:tcPr>
          <w:p w14:paraId="38B1CDCC" w14:textId="77777777" w:rsidR="00187094" w:rsidRPr="001C6253" w:rsidRDefault="00187094">
            <w:pPr>
              <w:spacing w:after="0" w:line="240" w:lineRule="auto"/>
              <w:rPr>
                <w:rFonts w:eastAsia="Times New Roman" w:cstheme="minorHAnsi"/>
                <w:sz w:val="24"/>
                <w:szCs w:val="24"/>
                <w:lang w:eastAsia="pl-PL"/>
              </w:rPr>
            </w:pPr>
            <w:r w:rsidRPr="001C6253">
              <w:rPr>
                <w:rFonts w:eastAsia="Times New Roman" w:cstheme="minorHAnsi"/>
                <w:sz w:val="24"/>
                <w:szCs w:val="24"/>
                <w:lang w:eastAsia="pl-PL"/>
              </w:rPr>
              <w:t>Wskaźnik dźwigni</w:t>
            </w:r>
          </w:p>
        </w:tc>
        <w:tc>
          <w:tcPr>
            <w:tcW w:w="1583" w:type="dxa"/>
            <w:tcBorders>
              <w:top w:val="single" w:sz="6" w:space="0" w:color="FFFFFF"/>
              <w:left w:val="single" w:sz="6" w:space="0" w:color="FFFFFF"/>
              <w:bottom w:val="single" w:sz="6" w:space="0" w:color="FFFFFF"/>
              <w:right w:val="single" w:sz="6" w:space="0" w:color="FFFFFF"/>
            </w:tcBorders>
            <w:shd w:val="clear" w:color="auto" w:fill="F5F7FB"/>
            <w:tcMar>
              <w:top w:w="120" w:type="dxa"/>
              <w:left w:w="120" w:type="dxa"/>
              <w:bottom w:w="120" w:type="dxa"/>
              <w:right w:w="120" w:type="dxa"/>
            </w:tcMar>
            <w:hideMark/>
          </w:tcPr>
          <w:p w14:paraId="1830DA9C" w14:textId="552ADF08" w:rsidR="00187094" w:rsidRPr="001C6253" w:rsidRDefault="001C1B72" w:rsidP="006E6336">
            <w:pPr>
              <w:spacing w:after="0"/>
              <w:rPr>
                <w:rFonts w:cstheme="minorHAnsi"/>
                <w:sz w:val="24"/>
                <w:szCs w:val="24"/>
                <w:highlight w:val="yellow"/>
              </w:rPr>
            </w:pPr>
            <w:r>
              <w:rPr>
                <w:rFonts w:cstheme="minorHAnsi"/>
                <w:sz w:val="24"/>
                <w:szCs w:val="24"/>
              </w:rPr>
              <w:t>3,5</w:t>
            </w:r>
            <w:r w:rsidR="001C6253" w:rsidRPr="001C6253">
              <w:rPr>
                <w:rFonts w:cstheme="minorHAnsi"/>
                <w:sz w:val="24"/>
                <w:szCs w:val="24"/>
              </w:rPr>
              <w:t>%</w:t>
            </w:r>
          </w:p>
        </w:tc>
        <w:tc>
          <w:tcPr>
            <w:tcW w:w="2039" w:type="dxa"/>
            <w:tcBorders>
              <w:top w:val="single" w:sz="6" w:space="0" w:color="FFFFFF"/>
              <w:left w:val="single" w:sz="6" w:space="0" w:color="FFFFFF"/>
              <w:bottom w:val="single" w:sz="6" w:space="0" w:color="FFFFFF"/>
              <w:right w:val="single" w:sz="6" w:space="0" w:color="FFFFFF"/>
            </w:tcBorders>
            <w:shd w:val="clear" w:color="auto" w:fill="F5F7FB"/>
            <w:tcMar>
              <w:top w:w="120" w:type="dxa"/>
              <w:left w:w="120" w:type="dxa"/>
              <w:bottom w:w="120" w:type="dxa"/>
              <w:right w:w="120" w:type="dxa"/>
            </w:tcMar>
            <w:hideMark/>
          </w:tcPr>
          <w:p w14:paraId="253F61CC" w14:textId="6CC2F0BB" w:rsidR="00187094" w:rsidRPr="001C6253" w:rsidRDefault="001C1B72" w:rsidP="001C6253">
            <w:pPr>
              <w:rPr>
                <w:rFonts w:ascii="Calibri" w:hAnsi="Calibri" w:cs="Calibri"/>
                <w:color w:val="000000"/>
                <w:sz w:val="24"/>
                <w:szCs w:val="24"/>
              </w:rPr>
            </w:pPr>
            <w:r>
              <w:rPr>
                <w:rFonts w:ascii="Calibri" w:hAnsi="Calibri" w:cs="Calibri"/>
                <w:color w:val="000000"/>
                <w:sz w:val="24"/>
                <w:szCs w:val="24"/>
              </w:rPr>
              <w:t>45</w:t>
            </w:r>
            <w:r w:rsidR="001C6253" w:rsidRPr="001C6253">
              <w:rPr>
                <w:rFonts w:ascii="Calibri" w:hAnsi="Calibri" w:cs="Calibri"/>
                <w:color w:val="000000"/>
                <w:sz w:val="24"/>
                <w:szCs w:val="24"/>
              </w:rPr>
              <w:t>,</w:t>
            </w:r>
            <w:r>
              <w:rPr>
                <w:rFonts w:ascii="Calibri" w:hAnsi="Calibri" w:cs="Calibri"/>
                <w:color w:val="000000"/>
                <w:sz w:val="24"/>
                <w:szCs w:val="24"/>
              </w:rPr>
              <w:t>2</w:t>
            </w:r>
            <w:r w:rsidR="001C6253" w:rsidRPr="001C6253">
              <w:rPr>
                <w:rFonts w:ascii="Calibri" w:hAnsi="Calibri" w:cs="Calibri"/>
                <w:color w:val="000000"/>
                <w:sz w:val="24"/>
                <w:szCs w:val="24"/>
              </w:rPr>
              <w:t>%</w:t>
            </w:r>
          </w:p>
        </w:tc>
        <w:tc>
          <w:tcPr>
            <w:tcW w:w="1620" w:type="dxa"/>
            <w:tcBorders>
              <w:top w:val="single" w:sz="6" w:space="0" w:color="FFFFFF"/>
              <w:left w:val="single" w:sz="6" w:space="0" w:color="FFFFFF"/>
              <w:bottom w:val="single" w:sz="6" w:space="0" w:color="FFFFFF"/>
              <w:right w:val="single" w:sz="6" w:space="0" w:color="FFFFFF"/>
            </w:tcBorders>
            <w:shd w:val="clear" w:color="auto" w:fill="F5F7FB"/>
            <w:tcMar>
              <w:top w:w="120" w:type="dxa"/>
              <w:left w:w="120" w:type="dxa"/>
              <w:bottom w:w="120" w:type="dxa"/>
              <w:right w:w="120" w:type="dxa"/>
            </w:tcMar>
            <w:hideMark/>
          </w:tcPr>
          <w:p w14:paraId="0B97A1C2" w14:textId="6C307BAB" w:rsidR="00187094" w:rsidRPr="001C6253" w:rsidRDefault="001C6253" w:rsidP="001C6253">
            <w:pPr>
              <w:rPr>
                <w:rFonts w:ascii="Calibri" w:hAnsi="Calibri" w:cs="Calibri"/>
                <w:color w:val="000000"/>
                <w:sz w:val="24"/>
                <w:szCs w:val="24"/>
              </w:rPr>
            </w:pPr>
            <w:r w:rsidRPr="001C6253">
              <w:rPr>
                <w:rFonts w:ascii="Calibri" w:hAnsi="Calibri" w:cs="Calibri"/>
                <w:color w:val="000000"/>
                <w:sz w:val="24"/>
                <w:szCs w:val="24"/>
              </w:rPr>
              <w:t>7,</w:t>
            </w:r>
            <w:r w:rsidR="001C1B72">
              <w:rPr>
                <w:rFonts w:ascii="Calibri" w:hAnsi="Calibri" w:cs="Calibri"/>
                <w:color w:val="000000"/>
                <w:sz w:val="24"/>
                <w:szCs w:val="24"/>
              </w:rPr>
              <w:t>4</w:t>
            </w:r>
            <w:r w:rsidRPr="001C6253">
              <w:rPr>
                <w:rFonts w:ascii="Calibri" w:hAnsi="Calibri" w:cs="Calibri"/>
                <w:color w:val="000000"/>
                <w:sz w:val="24"/>
                <w:szCs w:val="24"/>
              </w:rPr>
              <w:t>%</w:t>
            </w:r>
          </w:p>
        </w:tc>
        <w:tc>
          <w:tcPr>
            <w:tcW w:w="1597" w:type="dxa"/>
            <w:tcBorders>
              <w:top w:val="single" w:sz="6" w:space="0" w:color="FFFFFF"/>
              <w:left w:val="single" w:sz="6" w:space="0" w:color="FFFFFF"/>
              <w:bottom w:val="single" w:sz="6" w:space="0" w:color="FFFFFF"/>
              <w:right w:val="single" w:sz="6" w:space="0" w:color="FFFFFF"/>
            </w:tcBorders>
            <w:shd w:val="clear" w:color="auto" w:fill="F5F7FB"/>
            <w:tcMar>
              <w:top w:w="120" w:type="dxa"/>
              <w:left w:w="120" w:type="dxa"/>
              <w:bottom w:w="120" w:type="dxa"/>
              <w:right w:w="120" w:type="dxa"/>
            </w:tcMar>
            <w:hideMark/>
          </w:tcPr>
          <w:p w14:paraId="5325505D" w14:textId="2787346C" w:rsidR="00187094" w:rsidRPr="00E25134" w:rsidRDefault="001C6253" w:rsidP="001C6253">
            <w:pPr>
              <w:spacing w:after="0" w:line="240" w:lineRule="auto"/>
              <w:rPr>
                <w:rFonts w:eastAsia="Times New Roman" w:cstheme="minorHAnsi"/>
                <w:sz w:val="24"/>
                <w:szCs w:val="24"/>
                <w:highlight w:val="yellow"/>
                <w:lang w:eastAsia="pl-PL"/>
              </w:rPr>
            </w:pPr>
            <w:r w:rsidRPr="002806C9">
              <w:rPr>
                <w:rFonts w:eastAsia="Times New Roman" w:cstheme="minorHAnsi"/>
                <w:sz w:val="24"/>
                <w:szCs w:val="24"/>
                <w:lang w:eastAsia="pl-PL"/>
              </w:rPr>
              <w:t>8</w:t>
            </w:r>
          </w:p>
        </w:tc>
      </w:tr>
      <w:tr w:rsidR="00476B39" w:rsidRPr="00E25134" w14:paraId="3443F931" w14:textId="77777777" w:rsidTr="00476B39">
        <w:tc>
          <w:tcPr>
            <w:tcW w:w="0" w:type="auto"/>
            <w:vMerge/>
            <w:tcBorders>
              <w:top w:val="single" w:sz="6" w:space="0" w:color="FFFFFF"/>
              <w:left w:val="single" w:sz="6" w:space="0" w:color="FFFFFF"/>
              <w:bottom w:val="single" w:sz="6" w:space="0" w:color="FFFFFF"/>
              <w:right w:val="single" w:sz="6" w:space="0" w:color="FFFFFF"/>
            </w:tcBorders>
            <w:vAlign w:val="center"/>
            <w:hideMark/>
          </w:tcPr>
          <w:p w14:paraId="73CC4CE1" w14:textId="77777777" w:rsidR="00187094" w:rsidRPr="00F57746" w:rsidRDefault="00187094">
            <w:pPr>
              <w:spacing w:after="0"/>
              <w:rPr>
                <w:rFonts w:eastAsia="Times New Roman" w:cstheme="minorHAnsi"/>
                <w:sz w:val="24"/>
                <w:szCs w:val="24"/>
                <w:lang w:eastAsia="pl-PL"/>
              </w:rPr>
            </w:pPr>
          </w:p>
        </w:tc>
        <w:tc>
          <w:tcPr>
            <w:tcW w:w="0" w:type="auto"/>
            <w:vMerge/>
            <w:tcBorders>
              <w:top w:val="single" w:sz="6" w:space="0" w:color="FFFFFF"/>
              <w:left w:val="single" w:sz="6" w:space="0" w:color="FFFFFF"/>
              <w:bottom w:val="single" w:sz="6" w:space="0" w:color="FFFFFF"/>
              <w:right w:val="single" w:sz="6" w:space="0" w:color="FFFFFF"/>
            </w:tcBorders>
            <w:vAlign w:val="center"/>
            <w:hideMark/>
          </w:tcPr>
          <w:p w14:paraId="7FAE3EA8" w14:textId="77777777" w:rsidR="00187094" w:rsidRPr="00F57746" w:rsidRDefault="00187094">
            <w:pPr>
              <w:spacing w:after="0"/>
              <w:rPr>
                <w:rFonts w:eastAsia="Times New Roman" w:cstheme="minorHAnsi"/>
                <w:sz w:val="24"/>
                <w:szCs w:val="24"/>
                <w:lang w:eastAsia="pl-PL"/>
              </w:rPr>
            </w:pPr>
          </w:p>
        </w:tc>
        <w:tc>
          <w:tcPr>
            <w:tcW w:w="5058" w:type="dxa"/>
            <w:tcBorders>
              <w:top w:val="single" w:sz="6" w:space="0" w:color="FFFFFF"/>
              <w:left w:val="single" w:sz="6" w:space="0" w:color="FFFFFF"/>
              <w:bottom w:val="single" w:sz="6" w:space="0" w:color="FFFFFF"/>
              <w:right w:val="single" w:sz="6" w:space="0" w:color="FFFFFF"/>
            </w:tcBorders>
            <w:shd w:val="clear" w:color="auto" w:fill="E7EDF4"/>
            <w:tcMar>
              <w:top w:w="120" w:type="dxa"/>
              <w:left w:w="120" w:type="dxa"/>
              <w:bottom w:w="120" w:type="dxa"/>
              <w:right w:w="120" w:type="dxa"/>
            </w:tcMar>
            <w:hideMark/>
          </w:tcPr>
          <w:p w14:paraId="5AA6BB06" w14:textId="77777777" w:rsidR="00187094" w:rsidRPr="00F57746" w:rsidRDefault="00187094">
            <w:pPr>
              <w:spacing w:after="0" w:line="240" w:lineRule="auto"/>
              <w:rPr>
                <w:rFonts w:eastAsia="Times New Roman" w:cstheme="minorHAnsi"/>
                <w:sz w:val="24"/>
                <w:szCs w:val="24"/>
                <w:lang w:eastAsia="pl-PL"/>
              </w:rPr>
            </w:pPr>
            <w:r w:rsidRPr="00F57746">
              <w:rPr>
                <w:rFonts w:eastAsia="Times New Roman" w:cstheme="minorHAnsi"/>
                <w:sz w:val="24"/>
                <w:szCs w:val="24"/>
                <w:lang w:eastAsia="pl-PL"/>
              </w:rPr>
              <w:t xml:space="preserve">Współczynnik kapitału podstawowego </w:t>
            </w:r>
            <w:proofErr w:type="spellStart"/>
            <w:r w:rsidRPr="00F57746">
              <w:rPr>
                <w:rFonts w:eastAsia="Times New Roman" w:cstheme="minorHAnsi"/>
                <w:sz w:val="24"/>
                <w:szCs w:val="24"/>
                <w:lang w:eastAsia="pl-PL"/>
              </w:rPr>
              <w:t>Tier</w:t>
            </w:r>
            <w:proofErr w:type="spellEnd"/>
            <w:r w:rsidRPr="00F57746">
              <w:rPr>
                <w:rFonts w:eastAsia="Times New Roman" w:cstheme="minorHAnsi"/>
                <w:sz w:val="24"/>
                <w:szCs w:val="24"/>
                <w:lang w:eastAsia="pl-PL"/>
              </w:rPr>
              <w:t xml:space="preserve"> I</w:t>
            </w:r>
          </w:p>
        </w:tc>
        <w:tc>
          <w:tcPr>
            <w:tcW w:w="1583" w:type="dxa"/>
            <w:tcBorders>
              <w:top w:val="single" w:sz="6" w:space="0" w:color="FFFFFF"/>
              <w:left w:val="single" w:sz="6" w:space="0" w:color="FFFFFF"/>
              <w:bottom w:val="single" w:sz="6" w:space="0" w:color="FFFFFF"/>
              <w:right w:val="single" w:sz="6" w:space="0" w:color="FFFFFF"/>
            </w:tcBorders>
            <w:shd w:val="clear" w:color="auto" w:fill="E7EDF4"/>
            <w:tcMar>
              <w:top w:w="120" w:type="dxa"/>
              <w:left w:w="120" w:type="dxa"/>
              <w:bottom w:w="120" w:type="dxa"/>
              <w:right w:w="120" w:type="dxa"/>
            </w:tcMar>
            <w:hideMark/>
          </w:tcPr>
          <w:p w14:paraId="4961C918" w14:textId="1925F0A8" w:rsidR="00187094" w:rsidRPr="00E25134" w:rsidRDefault="001C1B72" w:rsidP="001C6253">
            <w:pPr>
              <w:spacing w:after="0"/>
              <w:rPr>
                <w:rFonts w:cstheme="minorHAnsi"/>
                <w:sz w:val="24"/>
                <w:szCs w:val="24"/>
                <w:highlight w:val="yellow"/>
              </w:rPr>
            </w:pPr>
            <w:r>
              <w:rPr>
                <w:rFonts w:cstheme="minorHAnsi"/>
                <w:sz w:val="24"/>
                <w:szCs w:val="24"/>
              </w:rPr>
              <w:t>12</w:t>
            </w:r>
            <w:r w:rsidR="00623451">
              <w:rPr>
                <w:rFonts w:cstheme="minorHAnsi"/>
                <w:sz w:val="24"/>
                <w:szCs w:val="24"/>
              </w:rPr>
              <w:t>,</w:t>
            </w:r>
            <w:r>
              <w:rPr>
                <w:rFonts w:cstheme="minorHAnsi"/>
                <w:sz w:val="24"/>
                <w:szCs w:val="24"/>
              </w:rPr>
              <w:t>3</w:t>
            </w:r>
            <w:r w:rsidR="001C6253" w:rsidRPr="001C6253">
              <w:rPr>
                <w:rFonts w:cstheme="minorHAnsi"/>
                <w:sz w:val="24"/>
                <w:szCs w:val="24"/>
              </w:rPr>
              <w:t>%</w:t>
            </w:r>
          </w:p>
        </w:tc>
        <w:tc>
          <w:tcPr>
            <w:tcW w:w="2039" w:type="dxa"/>
            <w:tcBorders>
              <w:top w:val="single" w:sz="6" w:space="0" w:color="FFFFFF"/>
              <w:left w:val="single" w:sz="6" w:space="0" w:color="FFFFFF"/>
              <w:bottom w:val="single" w:sz="6" w:space="0" w:color="FFFFFF"/>
              <w:right w:val="single" w:sz="6" w:space="0" w:color="FFFFFF"/>
            </w:tcBorders>
            <w:shd w:val="clear" w:color="auto" w:fill="E7EDF4"/>
            <w:tcMar>
              <w:top w:w="120" w:type="dxa"/>
              <w:left w:w="120" w:type="dxa"/>
              <w:bottom w:w="120" w:type="dxa"/>
              <w:right w:w="120" w:type="dxa"/>
            </w:tcMar>
            <w:hideMark/>
          </w:tcPr>
          <w:p w14:paraId="476C777C" w14:textId="2E5300CF" w:rsidR="00187094" w:rsidRPr="00E25134" w:rsidRDefault="00623451" w:rsidP="008F6BB8">
            <w:pPr>
              <w:spacing w:after="0"/>
              <w:rPr>
                <w:rFonts w:cstheme="minorHAnsi"/>
                <w:sz w:val="24"/>
                <w:szCs w:val="24"/>
                <w:highlight w:val="yellow"/>
              </w:rPr>
            </w:pPr>
            <w:r>
              <w:rPr>
                <w:rFonts w:cstheme="minorHAnsi"/>
                <w:sz w:val="24"/>
                <w:szCs w:val="24"/>
              </w:rPr>
              <w:t>1</w:t>
            </w:r>
            <w:r w:rsidR="001C1B72">
              <w:rPr>
                <w:rFonts w:cstheme="minorHAnsi"/>
                <w:sz w:val="24"/>
                <w:szCs w:val="24"/>
              </w:rPr>
              <w:t>53</w:t>
            </w:r>
            <w:r w:rsidR="001C6253" w:rsidRPr="001C6253">
              <w:rPr>
                <w:rFonts w:cstheme="minorHAnsi"/>
                <w:sz w:val="24"/>
                <w:szCs w:val="24"/>
              </w:rPr>
              <w:t>,</w:t>
            </w:r>
            <w:r w:rsidR="001C1B72">
              <w:rPr>
                <w:rFonts w:cstheme="minorHAnsi"/>
                <w:sz w:val="24"/>
                <w:szCs w:val="24"/>
              </w:rPr>
              <w:t>3</w:t>
            </w:r>
            <w:r w:rsidR="001C6253" w:rsidRPr="001C6253">
              <w:rPr>
                <w:rFonts w:cstheme="minorHAnsi"/>
                <w:sz w:val="24"/>
                <w:szCs w:val="24"/>
              </w:rPr>
              <w:t>%</w:t>
            </w:r>
          </w:p>
        </w:tc>
        <w:tc>
          <w:tcPr>
            <w:tcW w:w="1620" w:type="dxa"/>
            <w:tcBorders>
              <w:top w:val="single" w:sz="6" w:space="0" w:color="FFFFFF"/>
              <w:left w:val="single" w:sz="6" w:space="0" w:color="FFFFFF"/>
              <w:bottom w:val="single" w:sz="6" w:space="0" w:color="FFFFFF"/>
              <w:right w:val="single" w:sz="6" w:space="0" w:color="FFFFFF"/>
            </w:tcBorders>
            <w:shd w:val="clear" w:color="auto" w:fill="E7EDF4"/>
            <w:tcMar>
              <w:top w:w="120" w:type="dxa"/>
              <w:left w:w="120" w:type="dxa"/>
              <w:bottom w:w="120" w:type="dxa"/>
              <w:right w:w="120" w:type="dxa"/>
            </w:tcMar>
            <w:hideMark/>
          </w:tcPr>
          <w:p w14:paraId="27309AC1" w14:textId="07797D6F" w:rsidR="00187094" w:rsidRPr="00E25134" w:rsidRDefault="001C6253" w:rsidP="003834C3">
            <w:pPr>
              <w:spacing w:after="0"/>
              <w:rPr>
                <w:rFonts w:cstheme="minorHAnsi"/>
                <w:sz w:val="24"/>
                <w:szCs w:val="24"/>
                <w:highlight w:val="yellow"/>
              </w:rPr>
            </w:pPr>
            <w:r w:rsidRPr="001C6253">
              <w:rPr>
                <w:rFonts w:cstheme="minorHAnsi"/>
                <w:sz w:val="24"/>
                <w:szCs w:val="24"/>
              </w:rPr>
              <w:t>1</w:t>
            </w:r>
            <w:r w:rsidR="001C1B72">
              <w:rPr>
                <w:rFonts w:cstheme="minorHAnsi"/>
                <w:sz w:val="24"/>
                <w:szCs w:val="24"/>
              </w:rPr>
              <w:t>9</w:t>
            </w:r>
            <w:r w:rsidRPr="001C6253">
              <w:rPr>
                <w:rFonts w:cstheme="minorHAnsi"/>
                <w:sz w:val="24"/>
                <w:szCs w:val="24"/>
              </w:rPr>
              <w:t>,</w:t>
            </w:r>
            <w:r w:rsidR="001C1B72">
              <w:rPr>
                <w:rFonts w:cstheme="minorHAnsi"/>
                <w:sz w:val="24"/>
                <w:szCs w:val="24"/>
              </w:rPr>
              <w:t>1</w:t>
            </w:r>
            <w:r w:rsidRPr="001C6253">
              <w:rPr>
                <w:rFonts w:cstheme="minorHAnsi"/>
                <w:sz w:val="24"/>
                <w:szCs w:val="24"/>
              </w:rPr>
              <w:t>%</w:t>
            </w:r>
          </w:p>
        </w:tc>
        <w:tc>
          <w:tcPr>
            <w:tcW w:w="1597" w:type="dxa"/>
            <w:tcBorders>
              <w:top w:val="single" w:sz="6" w:space="0" w:color="FFFFFF"/>
              <w:left w:val="single" w:sz="6" w:space="0" w:color="FFFFFF"/>
              <w:bottom w:val="single" w:sz="6" w:space="0" w:color="FFFFFF"/>
              <w:right w:val="single" w:sz="6" w:space="0" w:color="FFFFFF"/>
            </w:tcBorders>
            <w:shd w:val="clear" w:color="auto" w:fill="E7EDF4"/>
            <w:tcMar>
              <w:top w:w="120" w:type="dxa"/>
              <w:left w:w="120" w:type="dxa"/>
              <w:bottom w:w="120" w:type="dxa"/>
              <w:right w:w="120" w:type="dxa"/>
            </w:tcMar>
            <w:hideMark/>
          </w:tcPr>
          <w:p w14:paraId="0EAD9544" w14:textId="71787268" w:rsidR="00187094" w:rsidRPr="00E25134" w:rsidRDefault="00426A66">
            <w:pPr>
              <w:spacing w:after="0" w:line="240" w:lineRule="auto"/>
              <w:rPr>
                <w:rFonts w:eastAsia="Times New Roman" w:cstheme="minorHAnsi"/>
                <w:sz w:val="24"/>
                <w:szCs w:val="24"/>
                <w:highlight w:val="yellow"/>
                <w:lang w:eastAsia="pl-PL"/>
              </w:rPr>
            </w:pPr>
            <w:r>
              <w:rPr>
                <w:rFonts w:eastAsia="Times New Roman" w:cstheme="minorHAnsi"/>
                <w:sz w:val="24"/>
                <w:szCs w:val="24"/>
                <w:lang w:eastAsia="pl-PL"/>
              </w:rPr>
              <w:t>9</w:t>
            </w:r>
          </w:p>
        </w:tc>
      </w:tr>
      <w:tr w:rsidR="00476B39" w:rsidRPr="00E25134" w14:paraId="561F36B3" w14:textId="77777777" w:rsidTr="00476B39">
        <w:tc>
          <w:tcPr>
            <w:tcW w:w="0" w:type="auto"/>
            <w:vMerge/>
            <w:tcBorders>
              <w:top w:val="single" w:sz="6" w:space="0" w:color="FFFFFF"/>
              <w:left w:val="single" w:sz="6" w:space="0" w:color="FFFFFF"/>
              <w:bottom w:val="single" w:sz="6" w:space="0" w:color="FFFFFF"/>
              <w:right w:val="single" w:sz="6" w:space="0" w:color="FFFFFF"/>
            </w:tcBorders>
            <w:vAlign w:val="center"/>
            <w:hideMark/>
          </w:tcPr>
          <w:p w14:paraId="2EBB9C14" w14:textId="77777777" w:rsidR="00187094" w:rsidRPr="00F57746" w:rsidRDefault="00187094">
            <w:pPr>
              <w:spacing w:after="0"/>
              <w:rPr>
                <w:rFonts w:eastAsia="Times New Roman" w:cstheme="minorHAnsi"/>
                <w:sz w:val="24"/>
                <w:szCs w:val="24"/>
                <w:lang w:eastAsia="pl-PL"/>
              </w:rPr>
            </w:pPr>
          </w:p>
        </w:tc>
        <w:tc>
          <w:tcPr>
            <w:tcW w:w="0" w:type="auto"/>
            <w:vMerge/>
            <w:tcBorders>
              <w:top w:val="single" w:sz="6" w:space="0" w:color="FFFFFF"/>
              <w:left w:val="single" w:sz="6" w:space="0" w:color="FFFFFF"/>
              <w:bottom w:val="single" w:sz="6" w:space="0" w:color="FFFFFF"/>
              <w:right w:val="single" w:sz="6" w:space="0" w:color="FFFFFF"/>
            </w:tcBorders>
            <w:vAlign w:val="center"/>
            <w:hideMark/>
          </w:tcPr>
          <w:p w14:paraId="6E5F657B" w14:textId="77777777" w:rsidR="00187094" w:rsidRPr="00F57746" w:rsidRDefault="00187094">
            <w:pPr>
              <w:spacing w:after="0"/>
              <w:rPr>
                <w:rFonts w:eastAsia="Times New Roman" w:cstheme="minorHAnsi"/>
                <w:sz w:val="24"/>
                <w:szCs w:val="24"/>
                <w:lang w:eastAsia="pl-PL"/>
              </w:rPr>
            </w:pPr>
          </w:p>
        </w:tc>
        <w:tc>
          <w:tcPr>
            <w:tcW w:w="5058" w:type="dxa"/>
            <w:tcBorders>
              <w:top w:val="single" w:sz="6" w:space="0" w:color="FFFFFF"/>
              <w:left w:val="single" w:sz="6" w:space="0" w:color="FFFFFF"/>
              <w:bottom w:val="single" w:sz="6" w:space="0" w:color="FFFFFF"/>
              <w:right w:val="single" w:sz="6" w:space="0" w:color="FFFFFF"/>
            </w:tcBorders>
            <w:shd w:val="clear" w:color="auto" w:fill="F5F7FB"/>
            <w:tcMar>
              <w:top w:w="120" w:type="dxa"/>
              <w:left w:w="120" w:type="dxa"/>
              <w:bottom w:w="120" w:type="dxa"/>
              <w:right w:w="120" w:type="dxa"/>
            </w:tcMar>
            <w:hideMark/>
          </w:tcPr>
          <w:p w14:paraId="5CC5250E" w14:textId="77777777" w:rsidR="00187094" w:rsidRPr="00F57746" w:rsidRDefault="00187094">
            <w:pPr>
              <w:spacing w:after="0" w:line="240" w:lineRule="auto"/>
              <w:rPr>
                <w:rFonts w:eastAsia="Times New Roman" w:cstheme="minorHAnsi"/>
                <w:sz w:val="24"/>
                <w:szCs w:val="24"/>
                <w:lang w:eastAsia="pl-PL"/>
              </w:rPr>
            </w:pPr>
            <w:r w:rsidRPr="00F57746">
              <w:rPr>
                <w:rFonts w:eastAsia="Times New Roman" w:cstheme="minorHAnsi"/>
                <w:sz w:val="24"/>
                <w:szCs w:val="24"/>
                <w:lang w:eastAsia="pl-PL"/>
              </w:rPr>
              <w:t>Łączna kwota ekspozycji na ryzyko podzielona przez aktywa ogółem</w:t>
            </w:r>
          </w:p>
        </w:tc>
        <w:tc>
          <w:tcPr>
            <w:tcW w:w="1583" w:type="dxa"/>
            <w:tcBorders>
              <w:top w:val="single" w:sz="6" w:space="0" w:color="FFFFFF"/>
              <w:left w:val="single" w:sz="6" w:space="0" w:color="FFFFFF"/>
              <w:bottom w:val="single" w:sz="6" w:space="0" w:color="FFFFFF"/>
              <w:right w:val="single" w:sz="6" w:space="0" w:color="FFFFFF"/>
            </w:tcBorders>
            <w:shd w:val="clear" w:color="auto" w:fill="F5F7FB"/>
            <w:tcMar>
              <w:top w:w="120" w:type="dxa"/>
              <w:left w:w="120" w:type="dxa"/>
              <w:bottom w:w="120" w:type="dxa"/>
              <w:right w:w="120" w:type="dxa"/>
            </w:tcMar>
            <w:hideMark/>
          </w:tcPr>
          <w:p w14:paraId="122B7037" w14:textId="1712C2EA" w:rsidR="00187094" w:rsidRPr="00E25134" w:rsidRDefault="001C6253" w:rsidP="001C6253">
            <w:pPr>
              <w:spacing w:after="0"/>
              <w:rPr>
                <w:rFonts w:cstheme="minorHAnsi"/>
                <w:sz w:val="24"/>
                <w:szCs w:val="24"/>
                <w:highlight w:val="yellow"/>
              </w:rPr>
            </w:pPr>
            <w:r w:rsidRPr="001C6253">
              <w:rPr>
                <w:rFonts w:cstheme="minorHAnsi"/>
                <w:sz w:val="24"/>
                <w:szCs w:val="24"/>
              </w:rPr>
              <w:t>1</w:t>
            </w:r>
            <w:r w:rsidR="001C1B72">
              <w:rPr>
                <w:rFonts w:cstheme="minorHAnsi"/>
                <w:sz w:val="24"/>
                <w:szCs w:val="24"/>
              </w:rPr>
              <w:t>3</w:t>
            </w:r>
            <w:r w:rsidRPr="001C6253">
              <w:rPr>
                <w:rFonts w:cstheme="minorHAnsi"/>
                <w:sz w:val="24"/>
                <w:szCs w:val="24"/>
              </w:rPr>
              <w:t>,</w:t>
            </w:r>
            <w:r w:rsidR="001C1B72">
              <w:rPr>
                <w:rFonts w:cstheme="minorHAnsi"/>
                <w:sz w:val="24"/>
                <w:szCs w:val="24"/>
              </w:rPr>
              <w:t>0</w:t>
            </w:r>
            <w:r w:rsidRPr="001C6253">
              <w:rPr>
                <w:rFonts w:cstheme="minorHAnsi"/>
                <w:sz w:val="24"/>
                <w:szCs w:val="24"/>
              </w:rPr>
              <w:t>%</w:t>
            </w:r>
          </w:p>
        </w:tc>
        <w:tc>
          <w:tcPr>
            <w:tcW w:w="2039" w:type="dxa"/>
            <w:tcBorders>
              <w:top w:val="single" w:sz="6" w:space="0" w:color="FFFFFF"/>
              <w:left w:val="single" w:sz="6" w:space="0" w:color="FFFFFF"/>
              <w:bottom w:val="single" w:sz="6" w:space="0" w:color="FFFFFF"/>
              <w:right w:val="single" w:sz="6" w:space="0" w:color="FFFFFF"/>
            </w:tcBorders>
            <w:shd w:val="clear" w:color="auto" w:fill="F5F7FB"/>
            <w:tcMar>
              <w:top w:w="120" w:type="dxa"/>
              <w:left w:w="120" w:type="dxa"/>
              <w:bottom w:w="120" w:type="dxa"/>
              <w:right w:w="120" w:type="dxa"/>
            </w:tcMar>
            <w:hideMark/>
          </w:tcPr>
          <w:p w14:paraId="277CB790" w14:textId="79766112" w:rsidR="00187094" w:rsidRPr="00E25134" w:rsidRDefault="001C6253" w:rsidP="008F6BB8">
            <w:pPr>
              <w:spacing w:after="0"/>
              <w:rPr>
                <w:rFonts w:cstheme="minorHAnsi"/>
                <w:sz w:val="24"/>
                <w:szCs w:val="24"/>
                <w:highlight w:val="yellow"/>
              </w:rPr>
            </w:pPr>
            <w:r w:rsidRPr="001C6253">
              <w:rPr>
                <w:rFonts w:cstheme="minorHAnsi"/>
                <w:sz w:val="24"/>
                <w:szCs w:val="24"/>
              </w:rPr>
              <w:t>10</w:t>
            </w:r>
            <w:r w:rsidR="001C1B72">
              <w:rPr>
                <w:rFonts w:cstheme="minorHAnsi"/>
                <w:sz w:val="24"/>
                <w:szCs w:val="24"/>
              </w:rPr>
              <w:t>9</w:t>
            </w:r>
            <w:r w:rsidRPr="001C6253">
              <w:rPr>
                <w:rFonts w:cstheme="minorHAnsi"/>
                <w:sz w:val="24"/>
                <w:szCs w:val="24"/>
              </w:rPr>
              <w:t>,</w:t>
            </w:r>
            <w:r w:rsidR="001C1B72">
              <w:rPr>
                <w:rFonts w:cstheme="minorHAnsi"/>
                <w:sz w:val="24"/>
                <w:szCs w:val="24"/>
              </w:rPr>
              <w:t>8</w:t>
            </w:r>
            <w:r w:rsidRPr="001C6253">
              <w:rPr>
                <w:rFonts w:cstheme="minorHAnsi"/>
                <w:sz w:val="24"/>
                <w:szCs w:val="24"/>
              </w:rPr>
              <w:t>%</w:t>
            </w:r>
          </w:p>
        </w:tc>
        <w:tc>
          <w:tcPr>
            <w:tcW w:w="1620" w:type="dxa"/>
            <w:tcBorders>
              <w:top w:val="single" w:sz="6" w:space="0" w:color="FFFFFF"/>
              <w:left w:val="single" w:sz="6" w:space="0" w:color="FFFFFF"/>
              <w:bottom w:val="single" w:sz="6" w:space="0" w:color="FFFFFF"/>
              <w:right w:val="single" w:sz="6" w:space="0" w:color="FFFFFF"/>
            </w:tcBorders>
            <w:shd w:val="clear" w:color="auto" w:fill="F5F7FB"/>
            <w:tcMar>
              <w:top w:w="120" w:type="dxa"/>
              <w:left w:w="120" w:type="dxa"/>
              <w:bottom w:w="120" w:type="dxa"/>
              <w:right w:w="120" w:type="dxa"/>
            </w:tcMar>
            <w:hideMark/>
          </w:tcPr>
          <w:p w14:paraId="769AD106" w14:textId="712AD33F" w:rsidR="00187094" w:rsidRPr="00E25134" w:rsidRDefault="001C1B72" w:rsidP="003834C3">
            <w:pPr>
              <w:spacing w:after="0"/>
              <w:rPr>
                <w:rFonts w:cstheme="minorHAnsi"/>
                <w:sz w:val="24"/>
                <w:szCs w:val="24"/>
                <w:highlight w:val="yellow"/>
              </w:rPr>
            </w:pPr>
            <w:r>
              <w:rPr>
                <w:rFonts w:cstheme="minorHAnsi"/>
                <w:sz w:val="24"/>
                <w:szCs w:val="24"/>
              </w:rPr>
              <w:t>39</w:t>
            </w:r>
            <w:r w:rsidR="001C6253" w:rsidRPr="001C6253">
              <w:rPr>
                <w:rFonts w:cstheme="minorHAnsi"/>
                <w:sz w:val="24"/>
                <w:szCs w:val="24"/>
              </w:rPr>
              <w:t>,</w:t>
            </w:r>
            <w:r>
              <w:rPr>
                <w:rFonts w:cstheme="minorHAnsi"/>
                <w:sz w:val="24"/>
                <w:szCs w:val="24"/>
              </w:rPr>
              <w:t>9</w:t>
            </w:r>
            <w:r w:rsidR="001C6253" w:rsidRPr="001C6253">
              <w:rPr>
                <w:rFonts w:cstheme="minorHAnsi"/>
                <w:sz w:val="24"/>
                <w:szCs w:val="24"/>
              </w:rPr>
              <w:t>%</w:t>
            </w:r>
          </w:p>
        </w:tc>
        <w:tc>
          <w:tcPr>
            <w:tcW w:w="1597" w:type="dxa"/>
            <w:tcBorders>
              <w:top w:val="single" w:sz="6" w:space="0" w:color="FFFFFF"/>
              <w:left w:val="single" w:sz="6" w:space="0" w:color="FFFFFF"/>
              <w:bottom w:val="single" w:sz="6" w:space="0" w:color="FFFFFF"/>
              <w:right w:val="single" w:sz="6" w:space="0" w:color="FFFFFF"/>
            </w:tcBorders>
            <w:shd w:val="clear" w:color="auto" w:fill="F5F7FB"/>
            <w:tcMar>
              <w:top w:w="120" w:type="dxa"/>
              <w:left w:w="120" w:type="dxa"/>
              <w:bottom w:w="120" w:type="dxa"/>
              <w:right w:w="120" w:type="dxa"/>
            </w:tcMar>
            <w:hideMark/>
          </w:tcPr>
          <w:p w14:paraId="2C51B87C" w14:textId="27F01EC6" w:rsidR="00187094" w:rsidRPr="00E25134" w:rsidRDefault="00426A66">
            <w:pPr>
              <w:spacing w:after="0" w:line="240" w:lineRule="auto"/>
              <w:rPr>
                <w:rFonts w:eastAsia="Times New Roman" w:cstheme="minorHAnsi"/>
                <w:sz w:val="24"/>
                <w:szCs w:val="24"/>
                <w:highlight w:val="yellow"/>
                <w:lang w:eastAsia="pl-PL"/>
              </w:rPr>
            </w:pPr>
            <w:r>
              <w:rPr>
                <w:rFonts w:eastAsia="Times New Roman" w:cstheme="minorHAnsi"/>
                <w:sz w:val="24"/>
                <w:szCs w:val="24"/>
                <w:lang w:eastAsia="pl-PL"/>
              </w:rPr>
              <w:t>8</w:t>
            </w:r>
          </w:p>
        </w:tc>
      </w:tr>
      <w:tr w:rsidR="00476B39" w:rsidRPr="00E25134" w14:paraId="0F0EFCDC" w14:textId="77777777" w:rsidTr="00476B39">
        <w:tc>
          <w:tcPr>
            <w:tcW w:w="634" w:type="dxa"/>
            <w:vMerge w:val="restart"/>
            <w:tcBorders>
              <w:top w:val="single" w:sz="6" w:space="0" w:color="FFFFFF"/>
              <w:left w:val="single" w:sz="6" w:space="0" w:color="FFFFFF"/>
              <w:right w:val="single" w:sz="6" w:space="0" w:color="FFFFFF"/>
            </w:tcBorders>
            <w:shd w:val="clear" w:color="auto" w:fill="E7EDF4"/>
            <w:tcMar>
              <w:top w:w="120" w:type="dxa"/>
              <w:left w:w="120" w:type="dxa"/>
              <w:bottom w:w="120" w:type="dxa"/>
              <w:right w:w="120" w:type="dxa"/>
            </w:tcMar>
            <w:hideMark/>
          </w:tcPr>
          <w:p w14:paraId="06826013" w14:textId="77777777" w:rsidR="00A12DC5" w:rsidRPr="001C6253" w:rsidRDefault="00A12DC5">
            <w:pPr>
              <w:spacing w:after="0" w:line="240" w:lineRule="auto"/>
              <w:rPr>
                <w:rFonts w:eastAsia="Times New Roman" w:cstheme="minorHAnsi"/>
                <w:sz w:val="24"/>
                <w:szCs w:val="24"/>
                <w:lang w:eastAsia="pl-PL"/>
              </w:rPr>
            </w:pPr>
            <w:r w:rsidRPr="001C6253">
              <w:rPr>
                <w:rFonts w:eastAsia="Times New Roman" w:cstheme="minorHAnsi"/>
                <w:sz w:val="24"/>
                <w:szCs w:val="24"/>
                <w:lang w:eastAsia="pl-PL"/>
              </w:rPr>
              <w:t>II</w:t>
            </w:r>
          </w:p>
        </w:tc>
        <w:tc>
          <w:tcPr>
            <w:tcW w:w="2694" w:type="dxa"/>
            <w:vMerge w:val="restart"/>
            <w:tcBorders>
              <w:top w:val="single" w:sz="6" w:space="0" w:color="FFFFFF"/>
              <w:left w:val="single" w:sz="6" w:space="0" w:color="FFFFFF"/>
              <w:right w:val="single" w:sz="6" w:space="0" w:color="FFFFFF"/>
            </w:tcBorders>
            <w:shd w:val="clear" w:color="auto" w:fill="E7EDF4"/>
            <w:tcMar>
              <w:top w:w="120" w:type="dxa"/>
              <w:left w:w="120" w:type="dxa"/>
              <w:bottom w:w="120" w:type="dxa"/>
              <w:right w:w="120" w:type="dxa"/>
            </w:tcMar>
            <w:hideMark/>
          </w:tcPr>
          <w:p w14:paraId="52AC73B8" w14:textId="77777777" w:rsidR="00A12DC5" w:rsidRPr="001C6253" w:rsidRDefault="00A12DC5">
            <w:pPr>
              <w:spacing w:after="0" w:line="240" w:lineRule="auto"/>
              <w:rPr>
                <w:rFonts w:eastAsia="Times New Roman" w:cstheme="minorHAnsi"/>
                <w:sz w:val="24"/>
                <w:szCs w:val="24"/>
                <w:lang w:eastAsia="pl-PL"/>
              </w:rPr>
            </w:pPr>
            <w:r w:rsidRPr="001C6253">
              <w:rPr>
                <w:rFonts w:eastAsia="Times New Roman" w:cstheme="minorHAnsi"/>
                <w:sz w:val="24"/>
                <w:szCs w:val="24"/>
                <w:lang w:eastAsia="pl-PL"/>
              </w:rPr>
              <w:t>Stabilność i dywersyfikacja źródeł finansowania</w:t>
            </w:r>
          </w:p>
        </w:tc>
        <w:tc>
          <w:tcPr>
            <w:tcW w:w="5058" w:type="dxa"/>
            <w:tcBorders>
              <w:top w:val="single" w:sz="6" w:space="0" w:color="FFFFFF"/>
              <w:left w:val="single" w:sz="6" w:space="0" w:color="FFFFFF"/>
              <w:bottom w:val="single" w:sz="6" w:space="0" w:color="FFFFFF"/>
              <w:right w:val="single" w:sz="6" w:space="0" w:color="FFFFFF"/>
            </w:tcBorders>
            <w:shd w:val="clear" w:color="auto" w:fill="E7EDF4"/>
            <w:tcMar>
              <w:top w:w="120" w:type="dxa"/>
              <w:left w:w="120" w:type="dxa"/>
              <w:bottom w:w="120" w:type="dxa"/>
              <w:right w:w="120" w:type="dxa"/>
            </w:tcMar>
            <w:hideMark/>
          </w:tcPr>
          <w:p w14:paraId="3CE04A3D" w14:textId="77777777" w:rsidR="00A12DC5" w:rsidRPr="001C6253" w:rsidRDefault="00A12DC5">
            <w:pPr>
              <w:spacing w:after="0" w:line="240" w:lineRule="auto"/>
              <w:rPr>
                <w:rFonts w:eastAsia="Times New Roman" w:cstheme="minorHAnsi"/>
                <w:sz w:val="24"/>
                <w:szCs w:val="24"/>
                <w:lang w:eastAsia="pl-PL"/>
              </w:rPr>
            </w:pPr>
            <w:r w:rsidRPr="001C6253">
              <w:rPr>
                <w:rFonts w:eastAsia="Times New Roman" w:cstheme="minorHAnsi"/>
                <w:sz w:val="24"/>
                <w:szCs w:val="24"/>
                <w:lang w:eastAsia="pl-PL"/>
              </w:rPr>
              <w:t>Wskaźnik pokrycia wypływów netto (LCR)</w:t>
            </w:r>
          </w:p>
        </w:tc>
        <w:tc>
          <w:tcPr>
            <w:tcW w:w="1583" w:type="dxa"/>
            <w:tcBorders>
              <w:top w:val="single" w:sz="6" w:space="0" w:color="FFFFFF"/>
              <w:left w:val="single" w:sz="6" w:space="0" w:color="FFFFFF"/>
              <w:bottom w:val="single" w:sz="6" w:space="0" w:color="FFFFFF"/>
              <w:right w:val="single" w:sz="6" w:space="0" w:color="FFFFFF"/>
            </w:tcBorders>
            <w:shd w:val="clear" w:color="auto" w:fill="E7EDF4"/>
            <w:tcMar>
              <w:top w:w="120" w:type="dxa"/>
              <w:left w:w="120" w:type="dxa"/>
              <w:bottom w:w="120" w:type="dxa"/>
              <w:right w:w="120" w:type="dxa"/>
            </w:tcMar>
            <w:hideMark/>
          </w:tcPr>
          <w:p w14:paraId="038CCB53" w14:textId="4245F2D1" w:rsidR="00A12DC5" w:rsidRPr="00E25134" w:rsidRDefault="001C6253" w:rsidP="001C6253">
            <w:pPr>
              <w:spacing w:after="0"/>
              <w:rPr>
                <w:rFonts w:cstheme="minorHAnsi"/>
                <w:sz w:val="24"/>
                <w:szCs w:val="24"/>
                <w:highlight w:val="yellow"/>
              </w:rPr>
            </w:pPr>
            <w:r w:rsidRPr="001C6253">
              <w:rPr>
                <w:rFonts w:cstheme="minorHAnsi"/>
                <w:sz w:val="24"/>
                <w:szCs w:val="24"/>
              </w:rPr>
              <w:t>1</w:t>
            </w:r>
            <w:r w:rsidR="001C1B72">
              <w:rPr>
                <w:rFonts w:cstheme="minorHAnsi"/>
                <w:sz w:val="24"/>
                <w:szCs w:val="24"/>
              </w:rPr>
              <w:t>46</w:t>
            </w:r>
            <w:r w:rsidRPr="001C6253">
              <w:rPr>
                <w:rFonts w:cstheme="minorHAnsi"/>
                <w:sz w:val="24"/>
                <w:szCs w:val="24"/>
              </w:rPr>
              <w:t>,</w:t>
            </w:r>
            <w:r w:rsidR="001C1B72">
              <w:rPr>
                <w:rFonts w:cstheme="minorHAnsi"/>
                <w:sz w:val="24"/>
                <w:szCs w:val="24"/>
              </w:rPr>
              <w:t>0</w:t>
            </w:r>
            <w:r w:rsidRPr="001C6253">
              <w:rPr>
                <w:rFonts w:cstheme="minorHAnsi"/>
                <w:sz w:val="24"/>
                <w:szCs w:val="24"/>
              </w:rPr>
              <w:t>%</w:t>
            </w:r>
          </w:p>
        </w:tc>
        <w:tc>
          <w:tcPr>
            <w:tcW w:w="2039" w:type="dxa"/>
            <w:tcBorders>
              <w:top w:val="single" w:sz="6" w:space="0" w:color="FFFFFF"/>
              <w:left w:val="single" w:sz="6" w:space="0" w:color="FFFFFF"/>
              <w:bottom w:val="single" w:sz="6" w:space="0" w:color="FFFFFF"/>
              <w:right w:val="single" w:sz="6" w:space="0" w:color="FFFFFF"/>
            </w:tcBorders>
            <w:shd w:val="clear" w:color="auto" w:fill="E7EDF4"/>
            <w:tcMar>
              <w:top w:w="120" w:type="dxa"/>
              <w:left w:w="120" w:type="dxa"/>
              <w:bottom w:w="120" w:type="dxa"/>
              <w:right w:w="120" w:type="dxa"/>
            </w:tcMar>
            <w:hideMark/>
          </w:tcPr>
          <w:p w14:paraId="4B60D55E" w14:textId="03F3F0EE" w:rsidR="00A12DC5" w:rsidRPr="00E25134" w:rsidRDefault="001C1B72" w:rsidP="001C6253">
            <w:pPr>
              <w:spacing w:after="0"/>
              <w:rPr>
                <w:rFonts w:cstheme="minorHAnsi"/>
                <w:sz w:val="24"/>
                <w:szCs w:val="24"/>
                <w:highlight w:val="yellow"/>
              </w:rPr>
            </w:pPr>
            <w:r>
              <w:rPr>
                <w:rFonts w:cstheme="minorHAnsi"/>
                <w:sz w:val="24"/>
                <w:szCs w:val="24"/>
              </w:rPr>
              <w:t>41 457</w:t>
            </w:r>
            <w:r w:rsidR="001C6253" w:rsidRPr="001C6253">
              <w:rPr>
                <w:rFonts w:cstheme="minorHAnsi"/>
                <w:sz w:val="24"/>
                <w:szCs w:val="24"/>
              </w:rPr>
              <w:t>%</w:t>
            </w:r>
          </w:p>
        </w:tc>
        <w:tc>
          <w:tcPr>
            <w:tcW w:w="1620" w:type="dxa"/>
            <w:tcBorders>
              <w:top w:val="single" w:sz="6" w:space="0" w:color="FFFFFF"/>
              <w:left w:val="single" w:sz="6" w:space="0" w:color="FFFFFF"/>
              <w:bottom w:val="single" w:sz="6" w:space="0" w:color="FFFFFF"/>
              <w:right w:val="single" w:sz="6" w:space="0" w:color="FFFFFF"/>
            </w:tcBorders>
            <w:shd w:val="clear" w:color="auto" w:fill="E7EDF4"/>
            <w:tcMar>
              <w:top w:w="120" w:type="dxa"/>
              <w:left w:w="120" w:type="dxa"/>
              <w:bottom w:w="120" w:type="dxa"/>
              <w:right w:w="120" w:type="dxa"/>
            </w:tcMar>
            <w:hideMark/>
          </w:tcPr>
          <w:p w14:paraId="5CE6430D" w14:textId="1CEE552D" w:rsidR="00A12DC5" w:rsidRPr="00E25134" w:rsidRDefault="00623451" w:rsidP="008F6BB8">
            <w:pPr>
              <w:spacing w:after="0"/>
              <w:rPr>
                <w:rFonts w:cstheme="minorHAnsi"/>
                <w:sz w:val="24"/>
                <w:szCs w:val="24"/>
                <w:highlight w:val="yellow"/>
              </w:rPr>
            </w:pPr>
            <w:r>
              <w:rPr>
                <w:rFonts w:cstheme="minorHAnsi"/>
                <w:sz w:val="24"/>
                <w:szCs w:val="24"/>
              </w:rPr>
              <w:t>2</w:t>
            </w:r>
            <w:r w:rsidR="001C1B72">
              <w:rPr>
                <w:rFonts w:cstheme="minorHAnsi"/>
                <w:sz w:val="24"/>
                <w:szCs w:val="24"/>
              </w:rPr>
              <w:t>83</w:t>
            </w:r>
            <w:r w:rsidR="001C6253" w:rsidRPr="001C6253">
              <w:rPr>
                <w:rFonts w:cstheme="minorHAnsi"/>
                <w:sz w:val="24"/>
                <w:szCs w:val="24"/>
              </w:rPr>
              <w:t>,</w:t>
            </w:r>
            <w:r w:rsidR="001C1B72">
              <w:rPr>
                <w:rFonts w:cstheme="minorHAnsi"/>
                <w:sz w:val="24"/>
                <w:szCs w:val="24"/>
              </w:rPr>
              <w:t>0</w:t>
            </w:r>
            <w:r w:rsidR="001C6253" w:rsidRPr="001C6253">
              <w:rPr>
                <w:rFonts w:cstheme="minorHAnsi"/>
                <w:sz w:val="24"/>
                <w:szCs w:val="24"/>
              </w:rPr>
              <w:t>%</w:t>
            </w:r>
          </w:p>
        </w:tc>
        <w:tc>
          <w:tcPr>
            <w:tcW w:w="1597" w:type="dxa"/>
            <w:tcBorders>
              <w:top w:val="single" w:sz="6" w:space="0" w:color="FFFFFF"/>
              <w:left w:val="single" w:sz="6" w:space="0" w:color="FFFFFF"/>
              <w:bottom w:val="single" w:sz="6" w:space="0" w:color="FFFFFF"/>
              <w:right w:val="single" w:sz="6" w:space="0" w:color="FFFFFF"/>
            </w:tcBorders>
            <w:shd w:val="clear" w:color="auto" w:fill="E7EDF4"/>
            <w:tcMar>
              <w:top w:w="120" w:type="dxa"/>
              <w:left w:w="120" w:type="dxa"/>
              <w:bottom w:w="120" w:type="dxa"/>
              <w:right w:w="120" w:type="dxa"/>
            </w:tcMar>
            <w:hideMark/>
          </w:tcPr>
          <w:p w14:paraId="08A723A4" w14:textId="2F0C5E62" w:rsidR="00A12DC5" w:rsidRPr="00E25134" w:rsidRDefault="00426A66">
            <w:pPr>
              <w:spacing w:after="0" w:line="240" w:lineRule="auto"/>
              <w:rPr>
                <w:rFonts w:eastAsia="Times New Roman" w:cstheme="minorHAnsi"/>
                <w:sz w:val="24"/>
                <w:szCs w:val="24"/>
                <w:highlight w:val="yellow"/>
                <w:lang w:eastAsia="pl-PL"/>
              </w:rPr>
            </w:pPr>
            <w:r>
              <w:rPr>
                <w:rFonts w:eastAsia="Times New Roman" w:cstheme="minorHAnsi"/>
                <w:sz w:val="24"/>
                <w:szCs w:val="24"/>
                <w:lang w:eastAsia="pl-PL"/>
              </w:rPr>
              <w:t>9</w:t>
            </w:r>
          </w:p>
        </w:tc>
      </w:tr>
      <w:tr w:rsidR="00476B39" w:rsidRPr="00E25134" w14:paraId="0BE3FE78" w14:textId="77777777" w:rsidTr="00476B39">
        <w:tc>
          <w:tcPr>
            <w:tcW w:w="634" w:type="dxa"/>
            <w:vMerge/>
            <w:tcBorders>
              <w:left w:val="single" w:sz="6" w:space="0" w:color="FFFFFF"/>
              <w:bottom w:val="single" w:sz="6" w:space="0" w:color="FFFFFF"/>
              <w:right w:val="single" w:sz="6" w:space="0" w:color="FFFFFF"/>
            </w:tcBorders>
            <w:shd w:val="clear" w:color="auto" w:fill="E7EDF4"/>
            <w:tcMar>
              <w:top w:w="120" w:type="dxa"/>
              <w:left w:w="120" w:type="dxa"/>
              <w:bottom w:w="120" w:type="dxa"/>
              <w:right w:w="120" w:type="dxa"/>
            </w:tcMar>
          </w:tcPr>
          <w:p w14:paraId="4D0732D4" w14:textId="77777777" w:rsidR="00A12DC5" w:rsidRPr="00F57746" w:rsidRDefault="00A12DC5">
            <w:pPr>
              <w:spacing w:after="0" w:line="240" w:lineRule="auto"/>
              <w:rPr>
                <w:rFonts w:eastAsia="Times New Roman" w:cstheme="minorHAnsi"/>
                <w:sz w:val="24"/>
                <w:szCs w:val="24"/>
                <w:lang w:eastAsia="pl-PL"/>
              </w:rPr>
            </w:pPr>
          </w:p>
        </w:tc>
        <w:tc>
          <w:tcPr>
            <w:tcW w:w="2694" w:type="dxa"/>
            <w:vMerge/>
            <w:tcBorders>
              <w:left w:val="single" w:sz="6" w:space="0" w:color="FFFFFF"/>
              <w:bottom w:val="single" w:sz="6" w:space="0" w:color="FFFFFF"/>
              <w:right w:val="single" w:sz="6" w:space="0" w:color="FFFFFF"/>
            </w:tcBorders>
            <w:shd w:val="clear" w:color="auto" w:fill="E7EDF4"/>
            <w:tcMar>
              <w:top w:w="120" w:type="dxa"/>
              <w:left w:w="120" w:type="dxa"/>
              <w:bottom w:w="120" w:type="dxa"/>
              <w:right w:w="120" w:type="dxa"/>
            </w:tcMar>
          </w:tcPr>
          <w:p w14:paraId="2835BD9E" w14:textId="77777777" w:rsidR="00A12DC5" w:rsidRPr="00F57746" w:rsidRDefault="00A12DC5">
            <w:pPr>
              <w:spacing w:after="0" w:line="240" w:lineRule="auto"/>
              <w:rPr>
                <w:rFonts w:eastAsia="Times New Roman" w:cstheme="minorHAnsi"/>
                <w:sz w:val="24"/>
                <w:szCs w:val="24"/>
                <w:lang w:eastAsia="pl-PL"/>
              </w:rPr>
            </w:pPr>
          </w:p>
        </w:tc>
        <w:tc>
          <w:tcPr>
            <w:tcW w:w="5058" w:type="dxa"/>
            <w:tcBorders>
              <w:top w:val="single" w:sz="6" w:space="0" w:color="FFFFFF"/>
              <w:left w:val="single" w:sz="6" w:space="0" w:color="FFFFFF"/>
              <w:bottom w:val="single" w:sz="6" w:space="0" w:color="FFFFFF"/>
              <w:right w:val="single" w:sz="6" w:space="0" w:color="FFFFFF"/>
            </w:tcBorders>
            <w:shd w:val="clear" w:color="auto" w:fill="E7EDF4"/>
            <w:tcMar>
              <w:top w:w="120" w:type="dxa"/>
              <w:left w:w="120" w:type="dxa"/>
              <w:bottom w:w="120" w:type="dxa"/>
              <w:right w:w="120" w:type="dxa"/>
            </w:tcMar>
          </w:tcPr>
          <w:p w14:paraId="30B81EA1" w14:textId="77777777" w:rsidR="00A12DC5" w:rsidRPr="00F57746" w:rsidRDefault="0037742B" w:rsidP="0037742B">
            <w:pPr>
              <w:spacing w:after="0" w:line="240" w:lineRule="auto"/>
              <w:rPr>
                <w:rFonts w:eastAsia="Times New Roman" w:cstheme="minorHAnsi"/>
                <w:sz w:val="24"/>
                <w:szCs w:val="24"/>
                <w:lang w:eastAsia="pl-PL"/>
              </w:rPr>
            </w:pPr>
            <w:r w:rsidRPr="00F57746">
              <w:rPr>
                <w:rFonts w:eastAsia="Times New Roman" w:cstheme="minorHAnsi"/>
                <w:sz w:val="24"/>
                <w:szCs w:val="24"/>
                <w:lang w:eastAsia="pl-PL"/>
              </w:rPr>
              <w:t xml:space="preserve">Wskaźnik stabilnego finansowania netto </w:t>
            </w:r>
            <w:r w:rsidR="006E6336" w:rsidRPr="00F57746">
              <w:rPr>
                <w:rFonts w:eastAsia="Times New Roman" w:cstheme="minorHAnsi"/>
                <w:sz w:val="24"/>
                <w:szCs w:val="24"/>
                <w:lang w:eastAsia="pl-PL"/>
              </w:rPr>
              <w:t>(NSFR)</w:t>
            </w:r>
          </w:p>
        </w:tc>
        <w:tc>
          <w:tcPr>
            <w:tcW w:w="1583" w:type="dxa"/>
            <w:tcBorders>
              <w:top w:val="single" w:sz="6" w:space="0" w:color="FFFFFF"/>
              <w:left w:val="single" w:sz="6" w:space="0" w:color="FFFFFF"/>
              <w:bottom w:val="single" w:sz="6" w:space="0" w:color="FFFFFF"/>
              <w:right w:val="single" w:sz="6" w:space="0" w:color="FFFFFF"/>
            </w:tcBorders>
            <w:shd w:val="clear" w:color="auto" w:fill="E7EDF4"/>
            <w:tcMar>
              <w:top w:w="120" w:type="dxa"/>
              <w:left w:w="120" w:type="dxa"/>
              <w:bottom w:w="120" w:type="dxa"/>
              <w:right w:w="120" w:type="dxa"/>
            </w:tcMar>
          </w:tcPr>
          <w:p w14:paraId="227BE43A" w14:textId="7B2CC45A" w:rsidR="00A12DC5" w:rsidRPr="00E25134" w:rsidRDefault="001C6253" w:rsidP="001C6253">
            <w:pPr>
              <w:spacing w:after="0"/>
              <w:rPr>
                <w:rFonts w:cstheme="minorHAnsi"/>
                <w:sz w:val="24"/>
                <w:szCs w:val="24"/>
                <w:highlight w:val="yellow"/>
              </w:rPr>
            </w:pPr>
            <w:r w:rsidRPr="001C6253">
              <w:rPr>
                <w:rFonts w:cstheme="minorHAnsi"/>
                <w:sz w:val="24"/>
                <w:szCs w:val="24"/>
              </w:rPr>
              <w:t>1</w:t>
            </w:r>
            <w:r w:rsidR="001C1B72">
              <w:rPr>
                <w:rFonts w:cstheme="minorHAnsi"/>
                <w:sz w:val="24"/>
                <w:szCs w:val="24"/>
              </w:rPr>
              <w:t>14</w:t>
            </w:r>
            <w:r w:rsidRPr="001C6253">
              <w:rPr>
                <w:rFonts w:cstheme="minorHAnsi"/>
                <w:sz w:val="24"/>
                <w:szCs w:val="24"/>
              </w:rPr>
              <w:t>,</w:t>
            </w:r>
            <w:r w:rsidR="001C1B72">
              <w:rPr>
                <w:rFonts w:cstheme="minorHAnsi"/>
                <w:sz w:val="24"/>
                <w:szCs w:val="24"/>
              </w:rPr>
              <w:t>0</w:t>
            </w:r>
            <w:r w:rsidRPr="001C6253">
              <w:rPr>
                <w:rFonts w:cstheme="minorHAnsi"/>
                <w:sz w:val="24"/>
                <w:szCs w:val="24"/>
              </w:rPr>
              <w:t>%</w:t>
            </w:r>
          </w:p>
        </w:tc>
        <w:tc>
          <w:tcPr>
            <w:tcW w:w="2039" w:type="dxa"/>
            <w:tcBorders>
              <w:top w:val="single" w:sz="6" w:space="0" w:color="FFFFFF"/>
              <w:left w:val="single" w:sz="6" w:space="0" w:color="FFFFFF"/>
              <w:bottom w:val="single" w:sz="6" w:space="0" w:color="FFFFFF"/>
              <w:right w:val="single" w:sz="6" w:space="0" w:color="FFFFFF"/>
            </w:tcBorders>
            <w:shd w:val="clear" w:color="auto" w:fill="E7EDF4"/>
            <w:tcMar>
              <w:top w:w="120" w:type="dxa"/>
              <w:left w:w="120" w:type="dxa"/>
              <w:bottom w:w="120" w:type="dxa"/>
              <w:right w:w="120" w:type="dxa"/>
            </w:tcMar>
          </w:tcPr>
          <w:p w14:paraId="05EF4177" w14:textId="792A0625" w:rsidR="00A12DC5" w:rsidRPr="00E25134" w:rsidRDefault="00623451" w:rsidP="001C6253">
            <w:pPr>
              <w:spacing w:after="0"/>
              <w:rPr>
                <w:rFonts w:cstheme="minorHAnsi"/>
                <w:sz w:val="24"/>
                <w:szCs w:val="24"/>
                <w:highlight w:val="yellow"/>
              </w:rPr>
            </w:pPr>
            <w:r>
              <w:rPr>
                <w:rFonts w:cstheme="minorHAnsi"/>
                <w:sz w:val="24"/>
                <w:szCs w:val="24"/>
              </w:rPr>
              <w:t>3</w:t>
            </w:r>
            <w:r w:rsidR="001C1B72">
              <w:rPr>
                <w:rFonts w:cstheme="minorHAnsi"/>
                <w:sz w:val="24"/>
                <w:szCs w:val="24"/>
              </w:rPr>
              <w:t>54</w:t>
            </w:r>
            <w:r w:rsidR="001C6253" w:rsidRPr="001C6253">
              <w:rPr>
                <w:rFonts w:cstheme="minorHAnsi"/>
                <w:sz w:val="24"/>
                <w:szCs w:val="24"/>
              </w:rPr>
              <w:t>,</w:t>
            </w:r>
            <w:r w:rsidR="001C1B72">
              <w:rPr>
                <w:rFonts w:cstheme="minorHAnsi"/>
                <w:sz w:val="24"/>
                <w:szCs w:val="24"/>
              </w:rPr>
              <w:t>0</w:t>
            </w:r>
            <w:r w:rsidR="001C6253" w:rsidRPr="001C6253">
              <w:rPr>
                <w:rFonts w:cstheme="minorHAnsi"/>
                <w:sz w:val="24"/>
                <w:szCs w:val="24"/>
              </w:rPr>
              <w:t>%</w:t>
            </w:r>
          </w:p>
        </w:tc>
        <w:tc>
          <w:tcPr>
            <w:tcW w:w="1620" w:type="dxa"/>
            <w:tcBorders>
              <w:top w:val="single" w:sz="6" w:space="0" w:color="FFFFFF"/>
              <w:left w:val="single" w:sz="6" w:space="0" w:color="FFFFFF"/>
              <w:bottom w:val="single" w:sz="6" w:space="0" w:color="FFFFFF"/>
              <w:right w:val="single" w:sz="6" w:space="0" w:color="FFFFFF"/>
            </w:tcBorders>
            <w:shd w:val="clear" w:color="auto" w:fill="E7EDF4"/>
            <w:tcMar>
              <w:top w:w="120" w:type="dxa"/>
              <w:left w:w="120" w:type="dxa"/>
              <w:bottom w:w="120" w:type="dxa"/>
              <w:right w:w="120" w:type="dxa"/>
            </w:tcMar>
          </w:tcPr>
          <w:p w14:paraId="46AF3524" w14:textId="26EC61D1" w:rsidR="00A12DC5" w:rsidRPr="00E25134" w:rsidRDefault="001C6253" w:rsidP="001C6253">
            <w:pPr>
              <w:spacing w:after="0"/>
              <w:rPr>
                <w:rFonts w:cstheme="minorHAnsi"/>
                <w:sz w:val="24"/>
                <w:szCs w:val="24"/>
                <w:highlight w:val="yellow"/>
              </w:rPr>
            </w:pPr>
            <w:r w:rsidRPr="001C6253">
              <w:rPr>
                <w:rFonts w:cstheme="minorHAnsi"/>
                <w:sz w:val="24"/>
                <w:szCs w:val="24"/>
              </w:rPr>
              <w:t>1</w:t>
            </w:r>
            <w:r w:rsidR="00623451">
              <w:rPr>
                <w:rFonts w:cstheme="minorHAnsi"/>
                <w:sz w:val="24"/>
                <w:szCs w:val="24"/>
              </w:rPr>
              <w:t>7</w:t>
            </w:r>
            <w:r w:rsidR="001C1B72">
              <w:rPr>
                <w:rFonts w:cstheme="minorHAnsi"/>
                <w:sz w:val="24"/>
                <w:szCs w:val="24"/>
              </w:rPr>
              <w:t>8</w:t>
            </w:r>
            <w:r w:rsidRPr="001C6253">
              <w:rPr>
                <w:rFonts w:cstheme="minorHAnsi"/>
                <w:sz w:val="24"/>
                <w:szCs w:val="24"/>
              </w:rPr>
              <w:t>,</w:t>
            </w:r>
            <w:r w:rsidR="001C1B72">
              <w:rPr>
                <w:rFonts w:cstheme="minorHAnsi"/>
                <w:sz w:val="24"/>
                <w:szCs w:val="24"/>
              </w:rPr>
              <w:t>4</w:t>
            </w:r>
            <w:r w:rsidRPr="001C6253">
              <w:rPr>
                <w:rFonts w:cstheme="minorHAnsi"/>
                <w:sz w:val="24"/>
                <w:szCs w:val="24"/>
              </w:rPr>
              <w:t>%</w:t>
            </w:r>
          </w:p>
        </w:tc>
        <w:tc>
          <w:tcPr>
            <w:tcW w:w="1597" w:type="dxa"/>
            <w:tcBorders>
              <w:top w:val="single" w:sz="6" w:space="0" w:color="FFFFFF"/>
              <w:left w:val="single" w:sz="6" w:space="0" w:color="FFFFFF"/>
              <w:bottom w:val="single" w:sz="6" w:space="0" w:color="FFFFFF"/>
              <w:right w:val="single" w:sz="6" w:space="0" w:color="FFFFFF"/>
            </w:tcBorders>
            <w:shd w:val="clear" w:color="auto" w:fill="E7EDF4"/>
            <w:tcMar>
              <w:top w:w="120" w:type="dxa"/>
              <w:left w:w="120" w:type="dxa"/>
              <w:bottom w:w="120" w:type="dxa"/>
              <w:right w:w="120" w:type="dxa"/>
            </w:tcMar>
          </w:tcPr>
          <w:p w14:paraId="4A9687C9" w14:textId="60DAC6D4" w:rsidR="00A12DC5" w:rsidRPr="001C6253" w:rsidRDefault="00426A66">
            <w:pPr>
              <w:spacing w:after="0" w:line="240" w:lineRule="auto"/>
              <w:rPr>
                <w:rFonts w:eastAsia="Times New Roman" w:cstheme="minorHAnsi"/>
                <w:sz w:val="24"/>
                <w:szCs w:val="24"/>
                <w:lang w:eastAsia="pl-PL"/>
              </w:rPr>
            </w:pPr>
            <w:r>
              <w:rPr>
                <w:rFonts w:eastAsia="Times New Roman" w:cstheme="minorHAnsi"/>
                <w:sz w:val="24"/>
                <w:szCs w:val="24"/>
                <w:lang w:eastAsia="pl-PL"/>
              </w:rPr>
              <w:t>8</w:t>
            </w:r>
          </w:p>
        </w:tc>
      </w:tr>
      <w:tr w:rsidR="00476B39" w:rsidRPr="00E25134" w14:paraId="6D111035" w14:textId="77777777" w:rsidTr="00476B39">
        <w:tc>
          <w:tcPr>
            <w:tcW w:w="634" w:type="dxa"/>
            <w:tcBorders>
              <w:top w:val="single" w:sz="6" w:space="0" w:color="FFFFFF"/>
              <w:left w:val="single" w:sz="6" w:space="0" w:color="FFFFFF"/>
              <w:bottom w:val="single" w:sz="6" w:space="0" w:color="FFFFFF"/>
              <w:right w:val="single" w:sz="6" w:space="0" w:color="FFFFFF"/>
            </w:tcBorders>
            <w:shd w:val="clear" w:color="auto" w:fill="F5F7FB"/>
            <w:tcMar>
              <w:top w:w="120" w:type="dxa"/>
              <w:left w:w="120" w:type="dxa"/>
              <w:bottom w:w="120" w:type="dxa"/>
              <w:right w:w="120" w:type="dxa"/>
            </w:tcMar>
            <w:hideMark/>
          </w:tcPr>
          <w:p w14:paraId="44A5E9E8" w14:textId="77777777" w:rsidR="00476B39" w:rsidRPr="001C6253" w:rsidRDefault="00476B39" w:rsidP="00476B39">
            <w:pPr>
              <w:spacing w:after="0" w:line="240" w:lineRule="auto"/>
              <w:rPr>
                <w:rFonts w:eastAsia="Times New Roman" w:cstheme="minorHAnsi"/>
                <w:sz w:val="24"/>
                <w:szCs w:val="24"/>
                <w:lang w:eastAsia="pl-PL"/>
              </w:rPr>
            </w:pPr>
            <w:r w:rsidRPr="001C6253">
              <w:rPr>
                <w:rFonts w:eastAsia="Times New Roman" w:cstheme="minorHAnsi"/>
                <w:sz w:val="24"/>
                <w:szCs w:val="24"/>
                <w:lang w:eastAsia="pl-PL"/>
              </w:rPr>
              <w:t>III</w:t>
            </w:r>
          </w:p>
        </w:tc>
        <w:tc>
          <w:tcPr>
            <w:tcW w:w="2694" w:type="dxa"/>
            <w:tcBorders>
              <w:top w:val="single" w:sz="6" w:space="0" w:color="FFFFFF"/>
              <w:left w:val="single" w:sz="6" w:space="0" w:color="FFFFFF"/>
              <w:bottom w:val="single" w:sz="6" w:space="0" w:color="FFFFFF"/>
              <w:right w:val="single" w:sz="6" w:space="0" w:color="FFFFFF"/>
            </w:tcBorders>
            <w:shd w:val="clear" w:color="auto" w:fill="F5F7FB"/>
            <w:tcMar>
              <w:top w:w="120" w:type="dxa"/>
              <w:left w:w="120" w:type="dxa"/>
              <w:bottom w:w="120" w:type="dxa"/>
              <w:right w:w="120" w:type="dxa"/>
            </w:tcMar>
            <w:hideMark/>
          </w:tcPr>
          <w:p w14:paraId="2C0B387B" w14:textId="77777777" w:rsidR="00476B39" w:rsidRPr="001C6253" w:rsidRDefault="00476B39" w:rsidP="00476B39">
            <w:pPr>
              <w:spacing w:after="0" w:line="240" w:lineRule="auto"/>
              <w:rPr>
                <w:rFonts w:eastAsia="Times New Roman" w:cstheme="minorHAnsi"/>
                <w:sz w:val="24"/>
                <w:szCs w:val="24"/>
                <w:lang w:eastAsia="pl-PL"/>
              </w:rPr>
            </w:pPr>
            <w:r w:rsidRPr="001C6253">
              <w:rPr>
                <w:rFonts w:eastAsia="Times New Roman" w:cstheme="minorHAnsi"/>
                <w:sz w:val="24"/>
                <w:szCs w:val="24"/>
                <w:lang w:eastAsia="pl-PL"/>
              </w:rPr>
              <w:t>Znaczenie instytucji dla stabilności systemu finansowego lub gospodarki</w:t>
            </w:r>
          </w:p>
        </w:tc>
        <w:tc>
          <w:tcPr>
            <w:tcW w:w="5058" w:type="dxa"/>
            <w:tcBorders>
              <w:top w:val="single" w:sz="6" w:space="0" w:color="FFFFFF"/>
              <w:left w:val="single" w:sz="6" w:space="0" w:color="FFFFFF"/>
              <w:bottom w:val="single" w:sz="6" w:space="0" w:color="FFFFFF"/>
              <w:right w:val="single" w:sz="6" w:space="0" w:color="FFFFFF"/>
            </w:tcBorders>
            <w:shd w:val="clear" w:color="auto" w:fill="F5F7FB"/>
            <w:tcMar>
              <w:top w:w="120" w:type="dxa"/>
              <w:left w:w="120" w:type="dxa"/>
              <w:bottom w:w="120" w:type="dxa"/>
              <w:right w:w="120" w:type="dxa"/>
            </w:tcMar>
            <w:hideMark/>
          </w:tcPr>
          <w:p w14:paraId="4582A04C" w14:textId="2A6F4D9E" w:rsidR="00476B39" w:rsidRPr="001C6253" w:rsidRDefault="00476B39" w:rsidP="00476B39">
            <w:pPr>
              <w:spacing w:after="0" w:line="240" w:lineRule="auto"/>
              <w:rPr>
                <w:rFonts w:eastAsia="Times New Roman" w:cstheme="minorHAnsi"/>
                <w:sz w:val="24"/>
                <w:szCs w:val="24"/>
                <w:lang w:eastAsia="pl-PL"/>
              </w:rPr>
            </w:pPr>
            <w:r w:rsidRPr="001C6253">
              <w:rPr>
                <w:rFonts w:eastAsia="Times New Roman" w:cstheme="minorHAnsi"/>
                <w:sz w:val="24"/>
                <w:szCs w:val="24"/>
                <w:lang w:eastAsia="pl-PL"/>
              </w:rPr>
              <w:t>Udział w kredytach i depozytach międzybankowych w Unii Europejskiej, odzwierciedlający znaczenie instytucji dla gospodarki państwa członkowskiego prowadzenia przedsiębiorstwa</w:t>
            </w:r>
            <w:r w:rsidR="00830387">
              <w:rPr>
                <w:rFonts w:eastAsia="Times New Roman" w:cstheme="minorHAnsi"/>
                <w:sz w:val="24"/>
                <w:szCs w:val="24"/>
                <w:lang w:eastAsia="pl-PL"/>
              </w:rPr>
              <w:t xml:space="preserve"> (mln zł)</w:t>
            </w:r>
          </w:p>
        </w:tc>
        <w:tc>
          <w:tcPr>
            <w:tcW w:w="1583" w:type="dxa"/>
            <w:tcBorders>
              <w:top w:val="single" w:sz="6" w:space="0" w:color="FFFFFF"/>
              <w:left w:val="single" w:sz="6" w:space="0" w:color="FFFFFF"/>
              <w:bottom w:val="single" w:sz="6" w:space="0" w:color="FFFFFF"/>
              <w:right w:val="single" w:sz="6" w:space="0" w:color="FFFFFF"/>
            </w:tcBorders>
            <w:shd w:val="clear" w:color="auto" w:fill="F5F7FB"/>
            <w:tcMar>
              <w:top w:w="120" w:type="dxa"/>
              <w:left w:w="120" w:type="dxa"/>
              <w:bottom w:w="120" w:type="dxa"/>
              <w:right w:w="120" w:type="dxa"/>
            </w:tcMar>
            <w:hideMark/>
          </w:tcPr>
          <w:p w14:paraId="3F4C66BD" w14:textId="219F163C" w:rsidR="00476B39" w:rsidRPr="001C6253" w:rsidRDefault="00476B39" w:rsidP="00476B39">
            <w:pPr>
              <w:spacing w:after="0"/>
              <w:rPr>
                <w:rFonts w:cstheme="minorHAnsi"/>
                <w:sz w:val="24"/>
                <w:szCs w:val="24"/>
              </w:rPr>
            </w:pPr>
            <w:r w:rsidRPr="001C6253">
              <w:rPr>
                <w:rFonts w:cstheme="minorHAnsi"/>
                <w:sz w:val="24"/>
                <w:szCs w:val="24"/>
              </w:rPr>
              <w:t>0,0</w:t>
            </w:r>
          </w:p>
        </w:tc>
        <w:tc>
          <w:tcPr>
            <w:tcW w:w="2039" w:type="dxa"/>
            <w:tcBorders>
              <w:top w:val="single" w:sz="6" w:space="0" w:color="FFFFFF"/>
              <w:left w:val="single" w:sz="6" w:space="0" w:color="FFFFFF"/>
              <w:bottom w:val="single" w:sz="6" w:space="0" w:color="FFFFFF"/>
              <w:right w:val="single" w:sz="6" w:space="0" w:color="FFFFFF"/>
            </w:tcBorders>
            <w:shd w:val="clear" w:color="auto" w:fill="F5F7FB"/>
            <w:tcMar>
              <w:top w:w="120" w:type="dxa"/>
              <w:left w:w="120" w:type="dxa"/>
              <w:bottom w:w="120" w:type="dxa"/>
              <w:right w:w="120" w:type="dxa"/>
            </w:tcMar>
            <w:hideMark/>
          </w:tcPr>
          <w:p w14:paraId="710E4669" w14:textId="6E9EEF50" w:rsidR="00476B39" w:rsidRPr="00E25134" w:rsidRDefault="00476B39" w:rsidP="00476B39">
            <w:pPr>
              <w:spacing w:after="0"/>
              <w:rPr>
                <w:rFonts w:cstheme="minorHAnsi"/>
                <w:sz w:val="24"/>
                <w:szCs w:val="24"/>
                <w:highlight w:val="yellow"/>
              </w:rPr>
            </w:pPr>
            <w:r w:rsidRPr="0007517C">
              <w:t>56 97</w:t>
            </w:r>
            <w:r w:rsidR="00830387">
              <w:t>3</w:t>
            </w:r>
          </w:p>
        </w:tc>
        <w:tc>
          <w:tcPr>
            <w:tcW w:w="1620" w:type="dxa"/>
            <w:tcBorders>
              <w:top w:val="single" w:sz="6" w:space="0" w:color="FFFFFF"/>
              <w:left w:val="single" w:sz="6" w:space="0" w:color="FFFFFF"/>
              <w:bottom w:val="single" w:sz="6" w:space="0" w:color="FFFFFF"/>
              <w:right w:val="single" w:sz="6" w:space="0" w:color="FFFFFF"/>
            </w:tcBorders>
            <w:shd w:val="clear" w:color="auto" w:fill="F5F7FB"/>
            <w:tcMar>
              <w:top w:w="120" w:type="dxa"/>
              <w:left w:w="120" w:type="dxa"/>
              <w:bottom w:w="120" w:type="dxa"/>
              <w:right w:w="120" w:type="dxa"/>
            </w:tcMar>
            <w:hideMark/>
          </w:tcPr>
          <w:p w14:paraId="4BB01D9C" w14:textId="307B487D" w:rsidR="00476B39" w:rsidRPr="00E25134" w:rsidRDefault="00476B39" w:rsidP="00476B39">
            <w:pPr>
              <w:spacing w:after="0"/>
              <w:rPr>
                <w:rFonts w:cstheme="minorHAnsi"/>
                <w:sz w:val="24"/>
                <w:szCs w:val="24"/>
                <w:highlight w:val="yellow"/>
              </w:rPr>
            </w:pPr>
            <w:r w:rsidRPr="0007517C">
              <w:t>6 06</w:t>
            </w:r>
            <w:r w:rsidR="00830387">
              <w:t>2</w:t>
            </w:r>
          </w:p>
        </w:tc>
        <w:tc>
          <w:tcPr>
            <w:tcW w:w="1597" w:type="dxa"/>
            <w:tcBorders>
              <w:top w:val="single" w:sz="6" w:space="0" w:color="FFFFFF"/>
              <w:left w:val="single" w:sz="6" w:space="0" w:color="FFFFFF"/>
              <w:bottom w:val="single" w:sz="6" w:space="0" w:color="FFFFFF"/>
              <w:right w:val="single" w:sz="6" w:space="0" w:color="FFFFFF"/>
            </w:tcBorders>
            <w:shd w:val="clear" w:color="auto" w:fill="F5F7FB"/>
            <w:tcMar>
              <w:top w:w="120" w:type="dxa"/>
              <w:left w:w="120" w:type="dxa"/>
              <w:bottom w:w="120" w:type="dxa"/>
              <w:right w:w="120" w:type="dxa"/>
            </w:tcMar>
            <w:hideMark/>
          </w:tcPr>
          <w:p w14:paraId="3E6CC011" w14:textId="34D81F73" w:rsidR="00476B39" w:rsidRPr="001C6253" w:rsidRDefault="00476B39" w:rsidP="00476B39">
            <w:pPr>
              <w:spacing w:after="0" w:line="240" w:lineRule="auto"/>
              <w:rPr>
                <w:rFonts w:eastAsia="Times New Roman" w:cstheme="minorHAnsi"/>
                <w:sz w:val="24"/>
                <w:szCs w:val="24"/>
                <w:lang w:eastAsia="pl-PL"/>
              </w:rPr>
            </w:pPr>
            <w:r>
              <w:rPr>
                <w:rFonts w:eastAsia="Times New Roman" w:cstheme="minorHAnsi"/>
                <w:sz w:val="24"/>
                <w:szCs w:val="24"/>
                <w:lang w:eastAsia="pl-PL"/>
              </w:rPr>
              <w:t>8</w:t>
            </w:r>
          </w:p>
        </w:tc>
      </w:tr>
      <w:tr w:rsidR="00476B39" w:rsidRPr="00E25134" w14:paraId="7AC975CB" w14:textId="77777777" w:rsidTr="00476B39">
        <w:tc>
          <w:tcPr>
            <w:tcW w:w="634" w:type="dxa"/>
            <w:vMerge w:val="restart"/>
            <w:tcBorders>
              <w:top w:val="single" w:sz="6" w:space="0" w:color="FFFFFF"/>
              <w:left w:val="single" w:sz="6" w:space="0" w:color="FFFFFF"/>
              <w:bottom w:val="single" w:sz="6" w:space="0" w:color="FFFFFF"/>
              <w:right w:val="single" w:sz="6" w:space="0" w:color="FFFFFF"/>
            </w:tcBorders>
            <w:shd w:val="clear" w:color="auto" w:fill="E7EDF4"/>
            <w:tcMar>
              <w:top w:w="120" w:type="dxa"/>
              <w:left w:w="120" w:type="dxa"/>
              <w:bottom w:w="120" w:type="dxa"/>
              <w:right w:w="120" w:type="dxa"/>
            </w:tcMar>
            <w:hideMark/>
          </w:tcPr>
          <w:p w14:paraId="42A7BEC2" w14:textId="77777777" w:rsidR="00187094" w:rsidRPr="001C6253" w:rsidRDefault="00187094">
            <w:pPr>
              <w:spacing w:after="0" w:line="240" w:lineRule="auto"/>
              <w:rPr>
                <w:rFonts w:eastAsia="Times New Roman" w:cstheme="minorHAnsi"/>
                <w:sz w:val="24"/>
                <w:szCs w:val="24"/>
                <w:lang w:eastAsia="pl-PL"/>
              </w:rPr>
            </w:pPr>
            <w:r w:rsidRPr="001C6253">
              <w:rPr>
                <w:rFonts w:eastAsia="Times New Roman" w:cstheme="minorHAnsi"/>
                <w:sz w:val="24"/>
                <w:szCs w:val="24"/>
                <w:lang w:eastAsia="pl-PL"/>
              </w:rPr>
              <w:t>IV</w:t>
            </w:r>
          </w:p>
        </w:tc>
        <w:tc>
          <w:tcPr>
            <w:tcW w:w="2694" w:type="dxa"/>
            <w:vMerge w:val="restart"/>
            <w:tcBorders>
              <w:top w:val="single" w:sz="6" w:space="0" w:color="FFFFFF"/>
              <w:left w:val="single" w:sz="6" w:space="0" w:color="FFFFFF"/>
              <w:bottom w:val="single" w:sz="6" w:space="0" w:color="FFFFFF"/>
              <w:right w:val="single" w:sz="6" w:space="0" w:color="FFFFFF"/>
            </w:tcBorders>
            <w:shd w:val="clear" w:color="auto" w:fill="E7EDF4"/>
            <w:tcMar>
              <w:top w:w="120" w:type="dxa"/>
              <w:left w:w="120" w:type="dxa"/>
              <w:bottom w:w="120" w:type="dxa"/>
              <w:right w:w="120" w:type="dxa"/>
            </w:tcMar>
            <w:hideMark/>
          </w:tcPr>
          <w:p w14:paraId="384DFBE8" w14:textId="77777777" w:rsidR="00187094" w:rsidRPr="001C6253" w:rsidRDefault="00187094">
            <w:pPr>
              <w:spacing w:after="0" w:line="240" w:lineRule="auto"/>
              <w:rPr>
                <w:rFonts w:eastAsia="Times New Roman" w:cstheme="minorHAnsi"/>
                <w:sz w:val="24"/>
                <w:szCs w:val="24"/>
                <w:lang w:eastAsia="pl-PL"/>
              </w:rPr>
            </w:pPr>
            <w:r w:rsidRPr="001C6253">
              <w:rPr>
                <w:rFonts w:eastAsia="Times New Roman" w:cstheme="minorHAnsi"/>
                <w:sz w:val="24"/>
                <w:szCs w:val="24"/>
                <w:lang w:eastAsia="pl-PL"/>
              </w:rPr>
              <w:t xml:space="preserve">Dodatkowe wskaźniki ryzyka określone przez organ ds. restrukturyzacji </w:t>
            </w:r>
            <w:r w:rsidRPr="001C6253">
              <w:rPr>
                <w:rFonts w:eastAsia="Times New Roman" w:cstheme="minorHAnsi"/>
                <w:sz w:val="24"/>
                <w:szCs w:val="24"/>
                <w:lang w:eastAsia="pl-PL"/>
              </w:rPr>
              <w:lastRenderedPageBreak/>
              <w:t>i uporządkowanej likwidacji</w:t>
            </w:r>
          </w:p>
        </w:tc>
        <w:tc>
          <w:tcPr>
            <w:tcW w:w="5058" w:type="dxa"/>
            <w:tcBorders>
              <w:top w:val="single" w:sz="6" w:space="0" w:color="FFFFFF"/>
              <w:left w:val="single" w:sz="6" w:space="0" w:color="FFFFFF"/>
              <w:bottom w:val="single" w:sz="6" w:space="0" w:color="FFFFFF"/>
              <w:right w:val="single" w:sz="6" w:space="0" w:color="FFFFFF"/>
            </w:tcBorders>
            <w:shd w:val="clear" w:color="auto" w:fill="E7EDF4"/>
            <w:tcMar>
              <w:top w:w="120" w:type="dxa"/>
              <w:left w:w="120" w:type="dxa"/>
              <w:bottom w:w="120" w:type="dxa"/>
              <w:right w:w="120" w:type="dxa"/>
            </w:tcMar>
            <w:hideMark/>
          </w:tcPr>
          <w:p w14:paraId="22C5CE8C" w14:textId="77777777" w:rsidR="00187094" w:rsidRPr="001C6253" w:rsidRDefault="00187094">
            <w:pPr>
              <w:spacing w:after="0" w:line="240" w:lineRule="auto"/>
              <w:rPr>
                <w:rFonts w:eastAsia="Times New Roman" w:cstheme="minorHAnsi"/>
                <w:sz w:val="24"/>
                <w:szCs w:val="24"/>
                <w:lang w:eastAsia="pl-PL"/>
              </w:rPr>
            </w:pPr>
            <w:r w:rsidRPr="001C6253">
              <w:rPr>
                <w:rFonts w:eastAsia="Times New Roman" w:cstheme="minorHAnsi"/>
                <w:sz w:val="24"/>
                <w:szCs w:val="24"/>
                <w:lang w:eastAsia="pl-PL"/>
              </w:rPr>
              <w:lastRenderedPageBreak/>
              <w:t>Relacja ekspozycji z tytułu instrumentów pochodnych do aktywów ogółem</w:t>
            </w:r>
          </w:p>
        </w:tc>
        <w:tc>
          <w:tcPr>
            <w:tcW w:w="1583" w:type="dxa"/>
            <w:tcBorders>
              <w:top w:val="single" w:sz="6" w:space="0" w:color="FFFFFF"/>
              <w:left w:val="single" w:sz="6" w:space="0" w:color="FFFFFF"/>
              <w:bottom w:val="single" w:sz="6" w:space="0" w:color="FFFFFF"/>
              <w:right w:val="single" w:sz="6" w:space="0" w:color="FFFFFF"/>
            </w:tcBorders>
            <w:shd w:val="clear" w:color="auto" w:fill="E7EDF4"/>
            <w:tcMar>
              <w:top w:w="120" w:type="dxa"/>
              <w:left w:w="120" w:type="dxa"/>
              <w:bottom w:w="120" w:type="dxa"/>
              <w:right w:w="120" w:type="dxa"/>
            </w:tcMar>
            <w:hideMark/>
          </w:tcPr>
          <w:p w14:paraId="19918D7B" w14:textId="77777777" w:rsidR="00187094" w:rsidRPr="001C6253" w:rsidRDefault="00187094">
            <w:pPr>
              <w:spacing w:after="0"/>
              <w:rPr>
                <w:rFonts w:cstheme="minorHAnsi"/>
                <w:sz w:val="24"/>
                <w:szCs w:val="24"/>
              </w:rPr>
            </w:pPr>
            <w:r w:rsidRPr="001C6253">
              <w:rPr>
                <w:rFonts w:cstheme="minorHAnsi"/>
                <w:sz w:val="24"/>
                <w:szCs w:val="24"/>
              </w:rPr>
              <w:t>0,0%</w:t>
            </w:r>
          </w:p>
        </w:tc>
        <w:tc>
          <w:tcPr>
            <w:tcW w:w="2039" w:type="dxa"/>
            <w:tcBorders>
              <w:top w:val="single" w:sz="6" w:space="0" w:color="FFFFFF"/>
              <w:left w:val="single" w:sz="6" w:space="0" w:color="FFFFFF"/>
              <w:bottom w:val="single" w:sz="6" w:space="0" w:color="FFFFFF"/>
              <w:right w:val="single" w:sz="6" w:space="0" w:color="FFFFFF"/>
            </w:tcBorders>
            <w:shd w:val="clear" w:color="auto" w:fill="E7EDF4"/>
            <w:tcMar>
              <w:top w:w="120" w:type="dxa"/>
              <w:left w:w="120" w:type="dxa"/>
              <w:bottom w:w="120" w:type="dxa"/>
              <w:right w:w="120" w:type="dxa"/>
            </w:tcMar>
            <w:hideMark/>
          </w:tcPr>
          <w:p w14:paraId="7FED5922" w14:textId="69CBD3C7" w:rsidR="00187094" w:rsidRPr="00E25134" w:rsidRDefault="001C6253" w:rsidP="000E2ABB">
            <w:pPr>
              <w:spacing w:after="0"/>
              <w:rPr>
                <w:rFonts w:cstheme="minorHAnsi"/>
                <w:sz w:val="24"/>
                <w:szCs w:val="24"/>
                <w:highlight w:val="yellow"/>
              </w:rPr>
            </w:pPr>
            <w:r w:rsidRPr="001C6253">
              <w:rPr>
                <w:rFonts w:cstheme="minorHAnsi"/>
                <w:sz w:val="24"/>
                <w:szCs w:val="24"/>
              </w:rPr>
              <w:t>1</w:t>
            </w:r>
            <w:r w:rsidR="00170736">
              <w:rPr>
                <w:rFonts w:cstheme="minorHAnsi"/>
                <w:sz w:val="24"/>
                <w:szCs w:val="24"/>
              </w:rPr>
              <w:t>0</w:t>
            </w:r>
            <w:r w:rsidRPr="001C6253">
              <w:rPr>
                <w:rFonts w:cstheme="minorHAnsi"/>
                <w:sz w:val="24"/>
                <w:szCs w:val="24"/>
              </w:rPr>
              <w:t>,</w:t>
            </w:r>
            <w:r w:rsidR="00170736">
              <w:rPr>
                <w:rFonts w:cstheme="minorHAnsi"/>
                <w:sz w:val="24"/>
                <w:szCs w:val="24"/>
              </w:rPr>
              <w:t>12</w:t>
            </w:r>
            <w:r w:rsidRPr="001C6253">
              <w:rPr>
                <w:rFonts w:cstheme="minorHAnsi"/>
                <w:sz w:val="24"/>
                <w:szCs w:val="24"/>
              </w:rPr>
              <w:t>%</w:t>
            </w:r>
          </w:p>
        </w:tc>
        <w:tc>
          <w:tcPr>
            <w:tcW w:w="1620" w:type="dxa"/>
            <w:tcBorders>
              <w:top w:val="single" w:sz="6" w:space="0" w:color="FFFFFF"/>
              <w:left w:val="single" w:sz="6" w:space="0" w:color="FFFFFF"/>
              <w:bottom w:val="single" w:sz="6" w:space="0" w:color="FFFFFF"/>
              <w:right w:val="single" w:sz="6" w:space="0" w:color="FFFFFF"/>
            </w:tcBorders>
            <w:shd w:val="clear" w:color="auto" w:fill="E7EDF4"/>
            <w:tcMar>
              <w:top w:w="120" w:type="dxa"/>
              <w:left w:w="120" w:type="dxa"/>
              <w:bottom w:w="120" w:type="dxa"/>
              <w:right w:w="120" w:type="dxa"/>
            </w:tcMar>
            <w:hideMark/>
          </w:tcPr>
          <w:p w14:paraId="4F81690F" w14:textId="48E425C6" w:rsidR="00187094" w:rsidRPr="00E25134" w:rsidRDefault="00623451" w:rsidP="000E2ABB">
            <w:pPr>
              <w:spacing w:after="0"/>
              <w:rPr>
                <w:rFonts w:cstheme="minorHAnsi"/>
                <w:sz w:val="24"/>
                <w:szCs w:val="24"/>
                <w:highlight w:val="yellow"/>
              </w:rPr>
            </w:pPr>
            <w:r>
              <w:rPr>
                <w:rFonts w:cstheme="minorHAnsi"/>
                <w:sz w:val="24"/>
                <w:szCs w:val="24"/>
              </w:rPr>
              <w:t>0</w:t>
            </w:r>
            <w:r w:rsidR="001C6253" w:rsidRPr="001C6253">
              <w:rPr>
                <w:rFonts w:cstheme="minorHAnsi"/>
                <w:sz w:val="24"/>
                <w:szCs w:val="24"/>
              </w:rPr>
              <w:t>,</w:t>
            </w:r>
            <w:r>
              <w:rPr>
                <w:rFonts w:cstheme="minorHAnsi"/>
                <w:sz w:val="24"/>
                <w:szCs w:val="24"/>
              </w:rPr>
              <w:t>7</w:t>
            </w:r>
            <w:r w:rsidR="00170736">
              <w:rPr>
                <w:rFonts w:cstheme="minorHAnsi"/>
                <w:sz w:val="24"/>
                <w:szCs w:val="24"/>
              </w:rPr>
              <w:t>6</w:t>
            </w:r>
            <w:r w:rsidR="001C6253" w:rsidRPr="001C6253">
              <w:rPr>
                <w:rFonts w:cstheme="minorHAnsi"/>
                <w:sz w:val="24"/>
                <w:szCs w:val="24"/>
              </w:rPr>
              <w:t>%</w:t>
            </w:r>
          </w:p>
        </w:tc>
        <w:tc>
          <w:tcPr>
            <w:tcW w:w="1597" w:type="dxa"/>
            <w:tcBorders>
              <w:top w:val="single" w:sz="6" w:space="0" w:color="FFFFFF"/>
              <w:left w:val="single" w:sz="6" w:space="0" w:color="FFFFFF"/>
              <w:bottom w:val="single" w:sz="6" w:space="0" w:color="FFFFFF"/>
              <w:right w:val="single" w:sz="6" w:space="0" w:color="FFFFFF"/>
            </w:tcBorders>
            <w:shd w:val="clear" w:color="auto" w:fill="E7EDF4"/>
            <w:tcMar>
              <w:top w:w="120" w:type="dxa"/>
              <w:left w:w="120" w:type="dxa"/>
              <w:bottom w:w="120" w:type="dxa"/>
              <w:right w:w="120" w:type="dxa"/>
            </w:tcMar>
            <w:hideMark/>
          </w:tcPr>
          <w:p w14:paraId="32A83A18" w14:textId="77777777" w:rsidR="00187094" w:rsidRPr="001C6253" w:rsidRDefault="006E6336">
            <w:pPr>
              <w:spacing w:after="0" w:line="240" w:lineRule="auto"/>
              <w:rPr>
                <w:rFonts w:eastAsia="Times New Roman" w:cstheme="minorHAnsi"/>
                <w:sz w:val="24"/>
                <w:szCs w:val="24"/>
                <w:lang w:eastAsia="pl-PL"/>
              </w:rPr>
            </w:pPr>
            <w:r w:rsidRPr="001C6253">
              <w:rPr>
                <w:rFonts w:eastAsia="Times New Roman" w:cstheme="minorHAnsi"/>
                <w:sz w:val="24"/>
                <w:szCs w:val="24"/>
                <w:lang w:eastAsia="pl-PL"/>
              </w:rPr>
              <w:t>8</w:t>
            </w:r>
          </w:p>
        </w:tc>
      </w:tr>
      <w:tr w:rsidR="00476B39" w:rsidRPr="00E25134" w14:paraId="50EEB457" w14:textId="77777777" w:rsidTr="00476B39">
        <w:tc>
          <w:tcPr>
            <w:tcW w:w="0" w:type="auto"/>
            <w:vMerge/>
            <w:tcBorders>
              <w:top w:val="single" w:sz="6" w:space="0" w:color="FFFFFF"/>
              <w:left w:val="single" w:sz="6" w:space="0" w:color="FFFFFF"/>
              <w:bottom w:val="single" w:sz="6" w:space="0" w:color="FFFFFF"/>
              <w:right w:val="single" w:sz="6" w:space="0" w:color="FFFFFF"/>
            </w:tcBorders>
            <w:vAlign w:val="center"/>
            <w:hideMark/>
          </w:tcPr>
          <w:p w14:paraId="1DB8ED1A" w14:textId="77777777" w:rsidR="00187094" w:rsidRPr="00F57746" w:rsidRDefault="00187094">
            <w:pPr>
              <w:spacing w:after="0"/>
              <w:rPr>
                <w:rFonts w:eastAsia="Times New Roman" w:cstheme="minorHAnsi"/>
                <w:sz w:val="24"/>
                <w:szCs w:val="24"/>
                <w:lang w:eastAsia="pl-PL"/>
              </w:rPr>
            </w:pPr>
          </w:p>
        </w:tc>
        <w:tc>
          <w:tcPr>
            <w:tcW w:w="0" w:type="auto"/>
            <w:vMerge/>
            <w:tcBorders>
              <w:top w:val="single" w:sz="6" w:space="0" w:color="FFFFFF"/>
              <w:left w:val="single" w:sz="6" w:space="0" w:color="FFFFFF"/>
              <w:bottom w:val="single" w:sz="6" w:space="0" w:color="FFFFFF"/>
              <w:right w:val="single" w:sz="6" w:space="0" w:color="FFFFFF"/>
            </w:tcBorders>
            <w:vAlign w:val="center"/>
            <w:hideMark/>
          </w:tcPr>
          <w:p w14:paraId="5A6CB7C4" w14:textId="77777777" w:rsidR="00187094" w:rsidRPr="00F57746" w:rsidRDefault="00187094">
            <w:pPr>
              <w:spacing w:after="0"/>
              <w:rPr>
                <w:rFonts w:eastAsia="Times New Roman" w:cstheme="minorHAnsi"/>
                <w:sz w:val="24"/>
                <w:szCs w:val="24"/>
                <w:lang w:eastAsia="pl-PL"/>
              </w:rPr>
            </w:pPr>
          </w:p>
        </w:tc>
        <w:tc>
          <w:tcPr>
            <w:tcW w:w="5058" w:type="dxa"/>
            <w:tcBorders>
              <w:top w:val="single" w:sz="6" w:space="0" w:color="FFFFFF"/>
              <w:left w:val="single" w:sz="6" w:space="0" w:color="FFFFFF"/>
              <w:bottom w:val="single" w:sz="6" w:space="0" w:color="FFFFFF"/>
              <w:right w:val="single" w:sz="6" w:space="0" w:color="FFFFFF"/>
            </w:tcBorders>
            <w:shd w:val="clear" w:color="auto" w:fill="F5F7FB"/>
            <w:tcMar>
              <w:top w:w="120" w:type="dxa"/>
              <w:left w:w="120" w:type="dxa"/>
              <w:bottom w:w="120" w:type="dxa"/>
              <w:right w:w="120" w:type="dxa"/>
            </w:tcMar>
            <w:hideMark/>
          </w:tcPr>
          <w:p w14:paraId="17D2B252" w14:textId="77777777" w:rsidR="00187094" w:rsidRPr="00F57746" w:rsidRDefault="00187094">
            <w:pPr>
              <w:spacing w:after="0" w:line="240" w:lineRule="auto"/>
              <w:rPr>
                <w:rFonts w:eastAsia="Times New Roman" w:cstheme="minorHAnsi"/>
                <w:sz w:val="24"/>
                <w:szCs w:val="24"/>
                <w:lang w:eastAsia="pl-PL"/>
              </w:rPr>
            </w:pPr>
            <w:r w:rsidRPr="00F57746">
              <w:rPr>
                <w:rFonts w:eastAsia="Times New Roman" w:cstheme="minorHAnsi"/>
                <w:sz w:val="24"/>
                <w:szCs w:val="24"/>
                <w:lang w:eastAsia="pl-PL"/>
              </w:rPr>
              <w:t>Przynależność do systemu ochrony instytucjonalnej</w:t>
            </w:r>
          </w:p>
        </w:tc>
        <w:tc>
          <w:tcPr>
            <w:tcW w:w="1583" w:type="dxa"/>
            <w:tcBorders>
              <w:top w:val="single" w:sz="6" w:space="0" w:color="FFFFFF"/>
              <w:left w:val="single" w:sz="6" w:space="0" w:color="FFFFFF"/>
              <w:bottom w:val="single" w:sz="6" w:space="0" w:color="FFFFFF"/>
              <w:right w:val="single" w:sz="6" w:space="0" w:color="FFFFFF"/>
            </w:tcBorders>
            <w:shd w:val="clear" w:color="auto" w:fill="F5F7FB"/>
            <w:tcMar>
              <w:top w:w="120" w:type="dxa"/>
              <w:left w:w="120" w:type="dxa"/>
              <w:bottom w:w="120" w:type="dxa"/>
              <w:right w:w="120" w:type="dxa"/>
            </w:tcMar>
            <w:hideMark/>
          </w:tcPr>
          <w:p w14:paraId="090FBEA5" w14:textId="77777777" w:rsidR="00187094" w:rsidRPr="00F57746" w:rsidRDefault="00187094">
            <w:pPr>
              <w:spacing w:after="0" w:line="240" w:lineRule="auto"/>
              <w:rPr>
                <w:rFonts w:eastAsia="Times New Roman" w:cstheme="minorHAnsi"/>
                <w:sz w:val="24"/>
                <w:szCs w:val="24"/>
                <w:lang w:eastAsia="pl-PL"/>
              </w:rPr>
            </w:pPr>
            <w:r w:rsidRPr="00F57746">
              <w:rPr>
                <w:rFonts w:eastAsia="Times New Roman" w:cstheme="minorHAnsi"/>
                <w:sz w:val="24"/>
                <w:szCs w:val="24"/>
                <w:lang w:eastAsia="pl-PL"/>
              </w:rPr>
              <w:t>NIE</w:t>
            </w:r>
          </w:p>
        </w:tc>
        <w:tc>
          <w:tcPr>
            <w:tcW w:w="2039" w:type="dxa"/>
            <w:tcBorders>
              <w:top w:val="single" w:sz="6" w:space="0" w:color="FFFFFF"/>
              <w:left w:val="single" w:sz="6" w:space="0" w:color="FFFFFF"/>
              <w:bottom w:val="single" w:sz="6" w:space="0" w:color="FFFFFF"/>
              <w:right w:val="single" w:sz="6" w:space="0" w:color="FFFFFF"/>
            </w:tcBorders>
            <w:shd w:val="clear" w:color="auto" w:fill="F5F7FB"/>
            <w:tcMar>
              <w:top w:w="120" w:type="dxa"/>
              <w:left w:w="120" w:type="dxa"/>
              <w:bottom w:w="120" w:type="dxa"/>
              <w:right w:w="120" w:type="dxa"/>
            </w:tcMar>
            <w:hideMark/>
          </w:tcPr>
          <w:p w14:paraId="3C118507" w14:textId="77777777" w:rsidR="00187094" w:rsidRPr="00F57746" w:rsidRDefault="00187094">
            <w:pPr>
              <w:spacing w:after="0" w:line="240" w:lineRule="auto"/>
              <w:rPr>
                <w:rFonts w:eastAsia="Times New Roman" w:cstheme="minorHAnsi"/>
                <w:sz w:val="24"/>
                <w:szCs w:val="24"/>
                <w:lang w:eastAsia="pl-PL"/>
              </w:rPr>
            </w:pPr>
            <w:r w:rsidRPr="00F57746">
              <w:rPr>
                <w:rFonts w:eastAsia="Times New Roman" w:cstheme="minorHAnsi"/>
                <w:sz w:val="24"/>
                <w:szCs w:val="24"/>
                <w:lang w:eastAsia="pl-PL"/>
              </w:rPr>
              <w:t>TAK</w:t>
            </w:r>
          </w:p>
        </w:tc>
        <w:tc>
          <w:tcPr>
            <w:tcW w:w="1620" w:type="dxa"/>
            <w:tcBorders>
              <w:top w:val="single" w:sz="6" w:space="0" w:color="FFFFFF"/>
              <w:left w:val="single" w:sz="6" w:space="0" w:color="FFFFFF"/>
              <w:bottom w:val="single" w:sz="6" w:space="0" w:color="FFFFFF"/>
              <w:right w:val="single" w:sz="6" w:space="0" w:color="FFFFFF"/>
            </w:tcBorders>
            <w:shd w:val="clear" w:color="auto" w:fill="F5F7FB"/>
            <w:tcMar>
              <w:top w:w="120" w:type="dxa"/>
              <w:left w:w="120" w:type="dxa"/>
              <w:bottom w:w="120" w:type="dxa"/>
              <w:right w:w="120" w:type="dxa"/>
            </w:tcMar>
            <w:hideMark/>
          </w:tcPr>
          <w:p w14:paraId="07292328" w14:textId="77777777" w:rsidR="00187094" w:rsidRPr="00F57746" w:rsidRDefault="00187094">
            <w:pPr>
              <w:spacing w:after="0" w:line="240" w:lineRule="auto"/>
              <w:rPr>
                <w:rFonts w:eastAsia="Times New Roman" w:cstheme="minorHAnsi"/>
                <w:sz w:val="24"/>
                <w:szCs w:val="24"/>
                <w:lang w:eastAsia="pl-PL"/>
              </w:rPr>
            </w:pPr>
            <w:proofErr w:type="spellStart"/>
            <w:r w:rsidRPr="00F57746">
              <w:rPr>
                <w:rFonts w:eastAsia="Times New Roman" w:cstheme="minorHAnsi"/>
                <w:sz w:val="24"/>
                <w:szCs w:val="24"/>
                <w:lang w:eastAsia="pl-PL"/>
              </w:rPr>
              <w:t>nd</w:t>
            </w:r>
            <w:proofErr w:type="spellEnd"/>
            <w:r w:rsidRPr="00F57746">
              <w:rPr>
                <w:rFonts w:eastAsia="Times New Roman" w:cstheme="minorHAnsi"/>
                <w:sz w:val="24"/>
                <w:szCs w:val="24"/>
                <w:lang w:eastAsia="pl-PL"/>
              </w:rPr>
              <w:t>.</w:t>
            </w:r>
          </w:p>
        </w:tc>
        <w:tc>
          <w:tcPr>
            <w:tcW w:w="1597" w:type="dxa"/>
            <w:tcBorders>
              <w:top w:val="single" w:sz="6" w:space="0" w:color="FFFFFF"/>
              <w:left w:val="single" w:sz="6" w:space="0" w:color="FFFFFF"/>
              <w:bottom w:val="single" w:sz="6" w:space="0" w:color="FFFFFF"/>
              <w:right w:val="single" w:sz="6" w:space="0" w:color="FFFFFF"/>
            </w:tcBorders>
            <w:shd w:val="clear" w:color="auto" w:fill="F5F7FB"/>
            <w:tcMar>
              <w:top w:w="120" w:type="dxa"/>
              <w:left w:w="120" w:type="dxa"/>
              <w:bottom w:w="120" w:type="dxa"/>
              <w:right w:w="120" w:type="dxa"/>
            </w:tcMar>
            <w:hideMark/>
          </w:tcPr>
          <w:p w14:paraId="50365F31" w14:textId="77777777" w:rsidR="00187094" w:rsidRPr="00F57746" w:rsidRDefault="00187094">
            <w:pPr>
              <w:spacing w:after="0" w:line="240" w:lineRule="auto"/>
              <w:rPr>
                <w:rFonts w:eastAsia="Times New Roman" w:cstheme="minorHAnsi"/>
                <w:sz w:val="24"/>
                <w:szCs w:val="24"/>
                <w:lang w:eastAsia="pl-PL"/>
              </w:rPr>
            </w:pPr>
            <w:proofErr w:type="spellStart"/>
            <w:r w:rsidRPr="00F57746">
              <w:rPr>
                <w:rFonts w:eastAsia="Times New Roman" w:cstheme="minorHAnsi"/>
                <w:sz w:val="24"/>
                <w:szCs w:val="24"/>
                <w:lang w:eastAsia="pl-PL"/>
              </w:rPr>
              <w:t>nd</w:t>
            </w:r>
            <w:proofErr w:type="spellEnd"/>
            <w:r w:rsidRPr="00F57746">
              <w:rPr>
                <w:rFonts w:eastAsia="Times New Roman" w:cstheme="minorHAnsi"/>
                <w:sz w:val="24"/>
                <w:szCs w:val="24"/>
                <w:lang w:eastAsia="pl-PL"/>
              </w:rPr>
              <w:t>.</w:t>
            </w:r>
          </w:p>
        </w:tc>
      </w:tr>
      <w:tr w:rsidR="00476B39" w:rsidRPr="00E25134" w14:paraId="4C8B6B48" w14:textId="77777777" w:rsidTr="00476B39">
        <w:tc>
          <w:tcPr>
            <w:tcW w:w="0" w:type="auto"/>
            <w:vMerge/>
            <w:tcBorders>
              <w:top w:val="single" w:sz="6" w:space="0" w:color="FFFFFF"/>
              <w:left w:val="single" w:sz="6" w:space="0" w:color="FFFFFF"/>
              <w:bottom w:val="single" w:sz="6" w:space="0" w:color="FFFFFF"/>
              <w:right w:val="single" w:sz="6" w:space="0" w:color="FFFFFF"/>
            </w:tcBorders>
            <w:vAlign w:val="center"/>
            <w:hideMark/>
          </w:tcPr>
          <w:p w14:paraId="708949C4" w14:textId="77777777" w:rsidR="00187094" w:rsidRPr="00E25134" w:rsidRDefault="00187094">
            <w:pPr>
              <w:spacing w:after="0"/>
              <w:rPr>
                <w:rFonts w:eastAsia="Times New Roman" w:cstheme="minorHAnsi"/>
                <w:sz w:val="24"/>
                <w:szCs w:val="24"/>
                <w:highlight w:val="yellow"/>
                <w:lang w:eastAsia="pl-PL"/>
              </w:rPr>
            </w:pPr>
          </w:p>
        </w:tc>
        <w:tc>
          <w:tcPr>
            <w:tcW w:w="0" w:type="auto"/>
            <w:vMerge/>
            <w:tcBorders>
              <w:top w:val="single" w:sz="6" w:space="0" w:color="FFFFFF"/>
              <w:left w:val="single" w:sz="6" w:space="0" w:color="FFFFFF"/>
              <w:bottom w:val="single" w:sz="6" w:space="0" w:color="FFFFFF"/>
              <w:right w:val="single" w:sz="6" w:space="0" w:color="FFFFFF"/>
            </w:tcBorders>
            <w:vAlign w:val="center"/>
            <w:hideMark/>
          </w:tcPr>
          <w:p w14:paraId="5DDFCE13" w14:textId="77777777" w:rsidR="00187094" w:rsidRPr="00E25134" w:rsidRDefault="00187094">
            <w:pPr>
              <w:spacing w:after="0"/>
              <w:rPr>
                <w:rFonts w:eastAsia="Times New Roman" w:cstheme="minorHAnsi"/>
                <w:sz w:val="24"/>
                <w:szCs w:val="24"/>
                <w:highlight w:val="yellow"/>
                <w:lang w:eastAsia="pl-PL"/>
              </w:rPr>
            </w:pPr>
          </w:p>
        </w:tc>
        <w:tc>
          <w:tcPr>
            <w:tcW w:w="5058" w:type="dxa"/>
            <w:tcBorders>
              <w:top w:val="single" w:sz="6" w:space="0" w:color="FFFFFF"/>
              <w:left w:val="single" w:sz="6" w:space="0" w:color="FFFFFF"/>
              <w:bottom w:val="single" w:sz="6" w:space="0" w:color="FFFFFF"/>
              <w:right w:val="single" w:sz="6" w:space="0" w:color="FFFFFF"/>
            </w:tcBorders>
            <w:shd w:val="clear" w:color="auto" w:fill="E7EDF4"/>
            <w:tcMar>
              <w:top w:w="120" w:type="dxa"/>
              <w:left w:w="120" w:type="dxa"/>
              <w:bottom w:w="120" w:type="dxa"/>
              <w:right w:w="120" w:type="dxa"/>
            </w:tcMar>
            <w:hideMark/>
          </w:tcPr>
          <w:p w14:paraId="6DF1A211" w14:textId="77777777" w:rsidR="00187094" w:rsidRPr="001C6253" w:rsidRDefault="00187094">
            <w:pPr>
              <w:spacing w:after="0" w:line="240" w:lineRule="auto"/>
              <w:rPr>
                <w:rFonts w:eastAsia="Times New Roman" w:cstheme="minorHAnsi"/>
                <w:sz w:val="24"/>
                <w:szCs w:val="24"/>
                <w:lang w:eastAsia="pl-PL"/>
              </w:rPr>
            </w:pPr>
            <w:r w:rsidRPr="001C6253">
              <w:rPr>
                <w:rFonts w:eastAsia="Times New Roman" w:cstheme="minorHAnsi"/>
                <w:sz w:val="24"/>
                <w:szCs w:val="24"/>
                <w:lang w:eastAsia="pl-PL"/>
              </w:rPr>
              <w:t>Skala wcześniejszego nadzwyczajnego wsparcia ze środków publicznych</w:t>
            </w:r>
          </w:p>
        </w:tc>
        <w:tc>
          <w:tcPr>
            <w:tcW w:w="1583" w:type="dxa"/>
            <w:tcBorders>
              <w:top w:val="single" w:sz="6" w:space="0" w:color="FFFFFF"/>
              <w:left w:val="single" w:sz="6" w:space="0" w:color="FFFFFF"/>
              <w:bottom w:val="single" w:sz="6" w:space="0" w:color="FFFFFF"/>
              <w:right w:val="single" w:sz="6" w:space="0" w:color="FFFFFF"/>
            </w:tcBorders>
            <w:shd w:val="clear" w:color="auto" w:fill="E7EDF4"/>
            <w:tcMar>
              <w:top w:w="120" w:type="dxa"/>
              <w:left w:w="120" w:type="dxa"/>
              <w:bottom w:w="120" w:type="dxa"/>
              <w:right w:w="120" w:type="dxa"/>
            </w:tcMar>
            <w:hideMark/>
          </w:tcPr>
          <w:p w14:paraId="69E346FB" w14:textId="77777777" w:rsidR="00187094" w:rsidRPr="001C6253" w:rsidRDefault="00187094">
            <w:pPr>
              <w:spacing w:after="0" w:line="240" w:lineRule="auto"/>
              <w:rPr>
                <w:rFonts w:eastAsia="Times New Roman" w:cstheme="minorHAnsi"/>
                <w:sz w:val="24"/>
                <w:szCs w:val="24"/>
                <w:lang w:eastAsia="pl-PL"/>
              </w:rPr>
            </w:pPr>
            <w:r w:rsidRPr="001C6253">
              <w:rPr>
                <w:rFonts w:eastAsia="Times New Roman" w:cstheme="minorHAnsi"/>
                <w:sz w:val="24"/>
                <w:szCs w:val="24"/>
                <w:lang w:eastAsia="pl-PL"/>
              </w:rPr>
              <w:t>NIE</w:t>
            </w:r>
          </w:p>
        </w:tc>
        <w:tc>
          <w:tcPr>
            <w:tcW w:w="2039" w:type="dxa"/>
            <w:tcBorders>
              <w:top w:val="single" w:sz="6" w:space="0" w:color="FFFFFF"/>
              <w:left w:val="single" w:sz="6" w:space="0" w:color="FFFFFF"/>
              <w:bottom w:val="single" w:sz="6" w:space="0" w:color="FFFFFF"/>
              <w:right w:val="single" w:sz="6" w:space="0" w:color="FFFFFF"/>
            </w:tcBorders>
            <w:shd w:val="clear" w:color="auto" w:fill="E7EDF4"/>
            <w:tcMar>
              <w:top w:w="120" w:type="dxa"/>
              <w:left w:w="120" w:type="dxa"/>
              <w:bottom w:w="120" w:type="dxa"/>
              <w:right w:w="120" w:type="dxa"/>
            </w:tcMar>
            <w:hideMark/>
          </w:tcPr>
          <w:p w14:paraId="4F26FF19" w14:textId="77777777" w:rsidR="00187094" w:rsidRPr="001C6253" w:rsidRDefault="00187094">
            <w:pPr>
              <w:spacing w:after="0" w:line="240" w:lineRule="auto"/>
              <w:rPr>
                <w:rFonts w:eastAsia="Times New Roman" w:cstheme="minorHAnsi"/>
                <w:sz w:val="24"/>
                <w:szCs w:val="24"/>
                <w:lang w:eastAsia="pl-PL"/>
              </w:rPr>
            </w:pPr>
            <w:r w:rsidRPr="001C6253">
              <w:rPr>
                <w:rFonts w:eastAsia="Times New Roman" w:cstheme="minorHAnsi"/>
                <w:sz w:val="24"/>
                <w:szCs w:val="24"/>
                <w:lang w:eastAsia="pl-PL"/>
              </w:rPr>
              <w:t>-*</w:t>
            </w:r>
          </w:p>
        </w:tc>
        <w:tc>
          <w:tcPr>
            <w:tcW w:w="1620" w:type="dxa"/>
            <w:tcBorders>
              <w:top w:val="single" w:sz="6" w:space="0" w:color="FFFFFF"/>
              <w:left w:val="single" w:sz="6" w:space="0" w:color="FFFFFF"/>
              <w:bottom w:val="single" w:sz="6" w:space="0" w:color="FFFFFF"/>
              <w:right w:val="single" w:sz="6" w:space="0" w:color="FFFFFF"/>
            </w:tcBorders>
            <w:shd w:val="clear" w:color="auto" w:fill="E7EDF4"/>
            <w:tcMar>
              <w:top w:w="120" w:type="dxa"/>
              <w:left w:w="120" w:type="dxa"/>
              <w:bottom w:w="120" w:type="dxa"/>
              <w:right w:w="120" w:type="dxa"/>
            </w:tcMar>
            <w:hideMark/>
          </w:tcPr>
          <w:p w14:paraId="26153BD9" w14:textId="77777777" w:rsidR="00187094" w:rsidRPr="001C6253" w:rsidRDefault="00187094">
            <w:pPr>
              <w:spacing w:after="0" w:line="240" w:lineRule="auto"/>
              <w:rPr>
                <w:rFonts w:eastAsia="Times New Roman" w:cstheme="minorHAnsi"/>
                <w:sz w:val="24"/>
                <w:szCs w:val="24"/>
                <w:lang w:eastAsia="pl-PL"/>
              </w:rPr>
            </w:pPr>
            <w:proofErr w:type="spellStart"/>
            <w:r w:rsidRPr="001C6253">
              <w:rPr>
                <w:rFonts w:eastAsia="Times New Roman" w:cstheme="minorHAnsi"/>
                <w:sz w:val="24"/>
                <w:szCs w:val="24"/>
                <w:lang w:eastAsia="pl-PL"/>
              </w:rPr>
              <w:t>nd</w:t>
            </w:r>
            <w:proofErr w:type="spellEnd"/>
            <w:r w:rsidRPr="001C6253">
              <w:rPr>
                <w:rFonts w:eastAsia="Times New Roman" w:cstheme="minorHAnsi"/>
                <w:sz w:val="24"/>
                <w:szCs w:val="24"/>
                <w:lang w:eastAsia="pl-PL"/>
              </w:rPr>
              <w:t>.</w:t>
            </w:r>
          </w:p>
        </w:tc>
        <w:tc>
          <w:tcPr>
            <w:tcW w:w="1597" w:type="dxa"/>
            <w:tcBorders>
              <w:top w:val="single" w:sz="6" w:space="0" w:color="FFFFFF"/>
              <w:left w:val="single" w:sz="6" w:space="0" w:color="FFFFFF"/>
              <w:bottom w:val="single" w:sz="6" w:space="0" w:color="FFFFFF"/>
              <w:right w:val="single" w:sz="6" w:space="0" w:color="FFFFFF"/>
            </w:tcBorders>
            <w:shd w:val="clear" w:color="auto" w:fill="E7EDF4"/>
            <w:tcMar>
              <w:top w:w="120" w:type="dxa"/>
              <w:left w:w="120" w:type="dxa"/>
              <w:bottom w:w="120" w:type="dxa"/>
              <w:right w:w="120" w:type="dxa"/>
            </w:tcMar>
            <w:hideMark/>
          </w:tcPr>
          <w:p w14:paraId="17A5BE8A" w14:textId="77777777" w:rsidR="00187094" w:rsidRPr="001C6253" w:rsidRDefault="00187094">
            <w:pPr>
              <w:spacing w:after="0" w:line="240" w:lineRule="auto"/>
              <w:rPr>
                <w:rFonts w:eastAsia="Times New Roman" w:cstheme="minorHAnsi"/>
                <w:sz w:val="24"/>
                <w:szCs w:val="24"/>
                <w:lang w:eastAsia="pl-PL"/>
              </w:rPr>
            </w:pPr>
            <w:proofErr w:type="spellStart"/>
            <w:r w:rsidRPr="001C6253">
              <w:rPr>
                <w:rFonts w:eastAsia="Times New Roman" w:cstheme="minorHAnsi"/>
                <w:sz w:val="24"/>
                <w:szCs w:val="24"/>
                <w:lang w:eastAsia="pl-PL"/>
              </w:rPr>
              <w:t>nd</w:t>
            </w:r>
            <w:proofErr w:type="spellEnd"/>
            <w:r w:rsidRPr="001C6253">
              <w:rPr>
                <w:rFonts w:eastAsia="Times New Roman" w:cstheme="minorHAnsi"/>
                <w:sz w:val="24"/>
                <w:szCs w:val="24"/>
                <w:lang w:eastAsia="pl-PL"/>
              </w:rPr>
              <w:t>.</w:t>
            </w:r>
          </w:p>
        </w:tc>
      </w:tr>
      <w:tr w:rsidR="00476B39" w:rsidRPr="00E25134" w14:paraId="4E58EA96" w14:textId="77777777" w:rsidTr="00476B39">
        <w:tc>
          <w:tcPr>
            <w:tcW w:w="3328" w:type="dxa"/>
            <w:gridSpan w:val="2"/>
            <w:tcBorders>
              <w:top w:val="single" w:sz="6" w:space="0" w:color="FFFFFF"/>
              <w:left w:val="single" w:sz="6" w:space="0" w:color="FFFFFF"/>
              <w:bottom w:val="single" w:sz="6" w:space="0" w:color="FFFFFF"/>
              <w:right w:val="single" w:sz="6" w:space="0" w:color="FFFFFF"/>
            </w:tcBorders>
            <w:shd w:val="clear" w:color="auto" w:fill="F5F7FB"/>
            <w:tcMar>
              <w:top w:w="120" w:type="dxa"/>
              <w:left w:w="120" w:type="dxa"/>
              <w:bottom w:w="120" w:type="dxa"/>
              <w:right w:w="120" w:type="dxa"/>
            </w:tcMar>
            <w:hideMark/>
          </w:tcPr>
          <w:p w14:paraId="1B9F7702" w14:textId="77777777" w:rsidR="00187094" w:rsidRPr="00407123" w:rsidRDefault="00187094">
            <w:pPr>
              <w:spacing w:after="0" w:line="240" w:lineRule="auto"/>
              <w:rPr>
                <w:rFonts w:eastAsia="Times New Roman" w:cstheme="minorHAnsi"/>
                <w:sz w:val="24"/>
                <w:szCs w:val="24"/>
                <w:lang w:eastAsia="pl-PL"/>
              </w:rPr>
            </w:pPr>
            <w:r w:rsidRPr="00407123">
              <w:rPr>
                <w:rFonts w:eastAsia="Times New Roman" w:cstheme="minorHAnsi"/>
                <w:sz w:val="24"/>
                <w:szCs w:val="24"/>
                <w:lang w:eastAsia="pl-PL"/>
              </w:rPr>
              <w:t> </w:t>
            </w:r>
          </w:p>
        </w:tc>
        <w:tc>
          <w:tcPr>
            <w:tcW w:w="5058" w:type="dxa"/>
            <w:tcBorders>
              <w:top w:val="single" w:sz="6" w:space="0" w:color="FFFFFF"/>
              <w:left w:val="single" w:sz="6" w:space="0" w:color="FFFFFF"/>
              <w:bottom w:val="single" w:sz="6" w:space="0" w:color="FFFFFF"/>
              <w:right w:val="single" w:sz="6" w:space="0" w:color="FFFFFF"/>
            </w:tcBorders>
            <w:shd w:val="clear" w:color="auto" w:fill="F5F7FB"/>
            <w:tcMar>
              <w:top w:w="120" w:type="dxa"/>
              <w:left w:w="120" w:type="dxa"/>
              <w:bottom w:w="120" w:type="dxa"/>
              <w:right w:w="120" w:type="dxa"/>
            </w:tcMar>
            <w:hideMark/>
          </w:tcPr>
          <w:p w14:paraId="4FA55700" w14:textId="77777777" w:rsidR="00187094" w:rsidRPr="00407123" w:rsidRDefault="00187094">
            <w:pPr>
              <w:spacing w:after="0" w:line="240" w:lineRule="auto"/>
              <w:rPr>
                <w:rFonts w:eastAsia="Times New Roman" w:cstheme="minorHAnsi"/>
                <w:sz w:val="24"/>
                <w:szCs w:val="24"/>
                <w:lang w:eastAsia="pl-PL"/>
              </w:rPr>
            </w:pPr>
            <w:r w:rsidRPr="00407123">
              <w:rPr>
                <w:rFonts w:eastAsia="Times New Roman" w:cstheme="minorHAnsi"/>
                <w:sz w:val="24"/>
                <w:szCs w:val="24"/>
                <w:lang w:eastAsia="pl-PL"/>
              </w:rPr>
              <w:t> </w:t>
            </w:r>
          </w:p>
        </w:tc>
        <w:tc>
          <w:tcPr>
            <w:tcW w:w="1583" w:type="dxa"/>
            <w:tcBorders>
              <w:top w:val="single" w:sz="6" w:space="0" w:color="FFFFFF"/>
              <w:left w:val="single" w:sz="6" w:space="0" w:color="FFFFFF"/>
              <w:bottom w:val="single" w:sz="6" w:space="0" w:color="FFFFFF"/>
              <w:right w:val="single" w:sz="6" w:space="0" w:color="FFFFFF"/>
            </w:tcBorders>
            <w:shd w:val="clear" w:color="auto" w:fill="F5F7FB"/>
            <w:tcMar>
              <w:top w:w="120" w:type="dxa"/>
              <w:left w:w="120" w:type="dxa"/>
              <w:bottom w:w="120" w:type="dxa"/>
              <w:right w:w="120" w:type="dxa"/>
            </w:tcMar>
            <w:hideMark/>
          </w:tcPr>
          <w:p w14:paraId="15077B96" w14:textId="77777777" w:rsidR="00187094" w:rsidRPr="001C6253" w:rsidRDefault="00187094">
            <w:pPr>
              <w:spacing w:after="0" w:line="240" w:lineRule="auto"/>
              <w:rPr>
                <w:rFonts w:eastAsia="Times New Roman" w:cstheme="minorHAnsi"/>
                <w:sz w:val="24"/>
                <w:szCs w:val="24"/>
                <w:lang w:eastAsia="pl-PL"/>
              </w:rPr>
            </w:pPr>
            <w:r w:rsidRPr="001C6253">
              <w:rPr>
                <w:rFonts w:eastAsia="Times New Roman" w:cstheme="minorHAnsi"/>
                <w:sz w:val="24"/>
                <w:szCs w:val="24"/>
                <w:lang w:eastAsia="pl-PL"/>
              </w:rPr>
              <w:t>Wartość minimalna</w:t>
            </w:r>
          </w:p>
        </w:tc>
        <w:tc>
          <w:tcPr>
            <w:tcW w:w="2039" w:type="dxa"/>
            <w:tcBorders>
              <w:top w:val="single" w:sz="6" w:space="0" w:color="FFFFFF"/>
              <w:left w:val="single" w:sz="6" w:space="0" w:color="FFFFFF"/>
              <w:bottom w:val="single" w:sz="6" w:space="0" w:color="FFFFFF"/>
              <w:right w:val="single" w:sz="6" w:space="0" w:color="FFFFFF"/>
            </w:tcBorders>
            <w:shd w:val="clear" w:color="auto" w:fill="F5F7FB"/>
            <w:tcMar>
              <w:top w:w="120" w:type="dxa"/>
              <w:left w:w="120" w:type="dxa"/>
              <w:bottom w:w="120" w:type="dxa"/>
              <w:right w:w="120" w:type="dxa"/>
            </w:tcMar>
            <w:hideMark/>
          </w:tcPr>
          <w:p w14:paraId="5B1CE223" w14:textId="77777777" w:rsidR="00187094" w:rsidRPr="001C6253" w:rsidRDefault="00187094">
            <w:pPr>
              <w:spacing w:after="0" w:line="240" w:lineRule="auto"/>
              <w:rPr>
                <w:rFonts w:eastAsia="Times New Roman" w:cstheme="minorHAnsi"/>
                <w:sz w:val="24"/>
                <w:szCs w:val="24"/>
                <w:lang w:eastAsia="pl-PL"/>
              </w:rPr>
            </w:pPr>
            <w:r w:rsidRPr="001C6253">
              <w:rPr>
                <w:rFonts w:eastAsia="Times New Roman" w:cstheme="minorHAnsi"/>
                <w:sz w:val="24"/>
                <w:szCs w:val="24"/>
                <w:lang w:eastAsia="pl-PL"/>
              </w:rPr>
              <w:t>Wartość maksymalna</w:t>
            </w:r>
          </w:p>
        </w:tc>
        <w:tc>
          <w:tcPr>
            <w:tcW w:w="1620" w:type="dxa"/>
            <w:tcBorders>
              <w:top w:val="single" w:sz="6" w:space="0" w:color="FFFFFF"/>
              <w:left w:val="single" w:sz="6" w:space="0" w:color="FFFFFF"/>
              <w:bottom w:val="single" w:sz="6" w:space="0" w:color="FFFFFF"/>
              <w:right w:val="single" w:sz="6" w:space="0" w:color="FFFFFF"/>
            </w:tcBorders>
            <w:shd w:val="clear" w:color="auto" w:fill="F5F7FB"/>
            <w:tcMar>
              <w:top w:w="120" w:type="dxa"/>
              <w:left w:w="120" w:type="dxa"/>
              <w:bottom w:w="120" w:type="dxa"/>
              <w:right w:w="120" w:type="dxa"/>
            </w:tcMar>
            <w:hideMark/>
          </w:tcPr>
          <w:p w14:paraId="7E1C3ED7" w14:textId="77777777" w:rsidR="00187094" w:rsidRPr="001C6253" w:rsidRDefault="00187094">
            <w:pPr>
              <w:spacing w:after="0" w:line="240" w:lineRule="auto"/>
              <w:rPr>
                <w:rFonts w:eastAsia="Times New Roman" w:cstheme="minorHAnsi"/>
                <w:sz w:val="24"/>
                <w:szCs w:val="24"/>
                <w:lang w:eastAsia="pl-PL"/>
              </w:rPr>
            </w:pPr>
            <w:r w:rsidRPr="001C6253">
              <w:rPr>
                <w:rFonts w:eastAsia="Times New Roman" w:cstheme="minorHAnsi"/>
                <w:sz w:val="24"/>
                <w:szCs w:val="24"/>
                <w:lang w:eastAsia="pl-PL"/>
              </w:rPr>
              <w:t>Mediana</w:t>
            </w:r>
          </w:p>
        </w:tc>
        <w:tc>
          <w:tcPr>
            <w:tcW w:w="1597" w:type="dxa"/>
            <w:tcBorders>
              <w:top w:val="single" w:sz="6" w:space="0" w:color="FFFFFF"/>
              <w:left w:val="single" w:sz="6" w:space="0" w:color="FFFFFF"/>
              <w:bottom w:val="single" w:sz="6" w:space="0" w:color="FFFFFF"/>
              <w:right w:val="single" w:sz="6" w:space="0" w:color="FFFFFF"/>
            </w:tcBorders>
            <w:shd w:val="clear" w:color="auto" w:fill="F5F7FB"/>
            <w:tcMar>
              <w:top w:w="120" w:type="dxa"/>
              <w:left w:w="120" w:type="dxa"/>
              <w:bottom w:w="120" w:type="dxa"/>
              <w:right w:w="120" w:type="dxa"/>
            </w:tcMar>
            <w:hideMark/>
          </w:tcPr>
          <w:p w14:paraId="1CA3AE0D" w14:textId="77777777" w:rsidR="00187094" w:rsidRPr="001C6253" w:rsidRDefault="00187094">
            <w:pPr>
              <w:spacing w:after="0" w:line="240" w:lineRule="auto"/>
              <w:rPr>
                <w:rFonts w:eastAsia="Times New Roman" w:cstheme="minorHAnsi"/>
                <w:sz w:val="24"/>
                <w:szCs w:val="24"/>
                <w:lang w:eastAsia="pl-PL"/>
              </w:rPr>
            </w:pPr>
            <w:r w:rsidRPr="001C6253">
              <w:rPr>
                <w:rFonts w:eastAsia="Times New Roman" w:cstheme="minorHAnsi"/>
                <w:sz w:val="24"/>
                <w:szCs w:val="24"/>
                <w:lang w:eastAsia="pl-PL"/>
              </w:rPr>
              <w:t> </w:t>
            </w:r>
          </w:p>
        </w:tc>
      </w:tr>
      <w:tr w:rsidR="00170736" w:rsidRPr="00E25134" w14:paraId="436FABD3" w14:textId="77777777" w:rsidTr="00476B39">
        <w:tc>
          <w:tcPr>
            <w:tcW w:w="3328" w:type="dxa"/>
            <w:gridSpan w:val="2"/>
            <w:tcBorders>
              <w:top w:val="single" w:sz="6" w:space="0" w:color="FFFFFF"/>
              <w:left w:val="single" w:sz="6" w:space="0" w:color="FFFFFF"/>
              <w:bottom w:val="single" w:sz="6" w:space="0" w:color="FFFFFF"/>
              <w:right w:val="single" w:sz="6" w:space="0" w:color="FFFFFF"/>
            </w:tcBorders>
            <w:shd w:val="clear" w:color="auto" w:fill="E7EDF4"/>
            <w:tcMar>
              <w:top w:w="120" w:type="dxa"/>
              <w:left w:w="120" w:type="dxa"/>
              <w:bottom w:w="120" w:type="dxa"/>
              <w:right w:w="120" w:type="dxa"/>
            </w:tcMar>
            <w:hideMark/>
          </w:tcPr>
          <w:p w14:paraId="442C495E" w14:textId="77777777" w:rsidR="00170736" w:rsidRPr="00407123" w:rsidRDefault="00170736" w:rsidP="00170736">
            <w:pPr>
              <w:rPr>
                <w:rFonts w:eastAsia="Times New Roman" w:cstheme="minorHAnsi"/>
                <w:sz w:val="24"/>
                <w:szCs w:val="24"/>
                <w:lang w:eastAsia="pl-PL"/>
              </w:rPr>
            </w:pPr>
          </w:p>
        </w:tc>
        <w:tc>
          <w:tcPr>
            <w:tcW w:w="5058" w:type="dxa"/>
            <w:tcBorders>
              <w:top w:val="single" w:sz="6" w:space="0" w:color="FFFFFF"/>
              <w:left w:val="single" w:sz="6" w:space="0" w:color="FFFFFF"/>
              <w:bottom w:val="single" w:sz="6" w:space="0" w:color="FFFFFF"/>
              <w:right w:val="single" w:sz="6" w:space="0" w:color="FFFFFF"/>
            </w:tcBorders>
            <w:shd w:val="clear" w:color="auto" w:fill="E7EDF4"/>
            <w:tcMar>
              <w:top w:w="120" w:type="dxa"/>
              <w:left w:w="120" w:type="dxa"/>
              <w:bottom w:w="120" w:type="dxa"/>
              <w:right w:w="120" w:type="dxa"/>
            </w:tcMar>
            <w:hideMark/>
          </w:tcPr>
          <w:p w14:paraId="720782EC" w14:textId="77777777" w:rsidR="00170736" w:rsidRPr="00407123" w:rsidRDefault="00170736" w:rsidP="00170736">
            <w:pPr>
              <w:spacing w:after="0" w:line="240" w:lineRule="auto"/>
              <w:rPr>
                <w:rFonts w:eastAsia="Times New Roman" w:cstheme="minorHAnsi"/>
                <w:sz w:val="24"/>
                <w:szCs w:val="24"/>
                <w:lang w:eastAsia="pl-PL"/>
              </w:rPr>
            </w:pPr>
            <w:r w:rsidRPr="00407123">
              <w:rPr>
                <w:rFonts w:eastAsia="Times New Roman" w:cstheme="minorHAnsi"/>
                <w:sz w:val="24"/>
                <w:szCs w:val="24"/>
                <w:lang w:eastAsia="pl-PL"/>
              </w:rPr>
              <w:t>Ostateczny złożony wskaźnik FCI**</w:t>
            </w:r>
          </w:p>
        </w:tc>
        <w:tc>
          <w:tcPr>
            <w:tcW w:w="1583" w:type="dxa"/>
            <w:tcBorders>
              <w:top w:val="single" w:sz="6" w:space="0" w:color="FFFFFF"/>
              <w:left w:val="single" w:sz="6" w:space="0" w:color="FFFFFF"/>
              <w:bottom w:val="single" w:sz="6" w:space="0" w:color="FFFFFF"/>
              <w:right w:val="single" w:sz="6" w:space="0" w:color="FFFFFF"/>
            </w:tcBorders>
            <w:shd w:val="clear" w:color="auto" w:fill="E7EDF4"/>
            <w:tcMar>
              <w:top w:w="120" w:type="dxa"/>
              <w:left w:w="120" w:type="dxa"/>
              <w:bottom w:w="120" w:type="dxa"/>
              <w:right w:w="120" w:type="dxa"/>
            </w:tcMar>
            <w:hideMark/>
          </w:tcPr>
          <w:p w14:paraId="25368788" w14:textId="00D68293" w:rsidR="00170736" w:rsidRPr="00E25134" w:rsidRDefault="00170736" w:rsidP="00170736">
            <w:pPr>
              <w:rPr>
                <w:rFonts w:cstheme="minorHAnsi"/>
                <w:sz w:val="24"/>
                <w:szCs w:val="24"/>
                <w:highlight w:val="yellow"/>
              </w:rPr>
            </w:pPr>
            <w:r>
              <w:rPr>
                <w:rFonts w:cstheme="minorHAnsi"/>
                <w:sz w:val="24"/>
                <w:szCs w:val="24"/>
              </w:rPr>
              <w:t>20</w:t>
            </w:r>
            <w:r w:rsidRPr="00407123">
              <w:rPr>
                <w:rFonts w:cstheme="minorHAnsi"/>
                <w:sz w:val="24"/>
                <w:szCs w:val="24"/>
              </w:rPr>
              <w:t>3,</w:t>
            </w:r>
            <w:r>
              <w:rPr>
                <w:rFonts w:cstheme="minorHAnsi"/>
                <w:sz w:val="24"/>
                <w:szCs w:val="24"/>
              </w:rPr>
              <w:t>65</w:t>
            </w:r>
          </w:p>
        </w:tc>
        <w:tc>
          <w:tcPr>
            <w:tcW w:w="2039" w:type="dxa"/>
            <w:tcBorders>
              <w:top w:val="single" w:sz="6" w:space="0" w:color="FFFFFF"/>
              <w:left w:val="single" w:sz="6" w:space="0" w:color="FFFFFF"/>
              <w:bottom w:val="single" w:sz="6" w:space="0" w:color="FFFFFF"/>
              <w:right w:val="single" w:sz="6" w:space="0" w:color="FFFFFF"/>
            </w:tcBorders>
            <w:shd w:val="clear" w:color="auto" w:fill="E7EDF4"/>
            <w:tcMar>
              <w:top w:w="120" w:type="dxa"/>
              <w:left w:w="120" w:type="dxa"/>
              <w:bottom w:w="120" w:type="dxa"/>
              <w:right w:w="120" w:type="dxa"/>
            </w:tcMar>
            <w:hideMark/>
          </w:tcPr>
          <w:p w14:paraId="37FA202F" w14:textId="528349ED" w:rsidR="00170736" w:rsidRPr="00BA2162" w:rsidRDefault="00170736" w:rsidP="00170736">
            <w:pPr>
              <w:rPr>
                <w:rFonts w:cstheme="minorHAnsi"/>
                <w:sz w:val="24"/>
                <w:szCs w:val="24"/>
                <w:highlight w:val="yellow"/>
              </w:rPr>
            </w:pPr>
            <w:r w:rsidRPr="00BA2162">
              <w:rPr>
                <w:sz w:val="24"/>
                <w:szCs w:val="24"/>
              </w:rPr>
              <w:t>937,88</w:t>
            </w:r>
          </w:p>
        </w:tc>
        <w:tc>
          <w:tcPr>
            <w:tcW w:w="1620" w:type="dxa"/>
            <w:tcBorders>
              <w:top w:val="single" w:sz="6" w:space="0" w:color="FFFFFF"/>
              <w:left w:val="single" w:sz="6" w:space="0" w:color="FFFFFF"/>
              <w:bottom w:val="single" w:sz="6" w:space="0" w:color="FFFFFF"/>
              <w:right w:val="single" w:sz="6" w:space="0" w:color="FFFFFF"/>
            </w:tcBorders>
            <w:shd w:val="clear" w:color="auto" w:fill="E7EDF4"/>
            <w:tcMar>
              <w:top w:w="120" w:type="dxa"/>
              <w:left w:w="120" w:type="dxa"/>
              <w:bottom w:w="120" w:type="dxa"/>
              <w:right w:w="120" w:type="dxa"/>
            </w:tcMar>
            <w:hideMark/>
          </w:tcPr>
          <w:p w14:paraId="11B17242" w14:textId="1DDA488C" w:rsidR="00170736" w:rsidRPr="00BA2162" w:rsidRDefault="00170736" w:rsidP="00170736">
            <w:pPr>
              <w:rPr>
                <w:rFonts w:cstheme="minorHAnsi"/>
                <w:sz w:val="24"/>
                <w:szCs w:val="24"/>
                <w:highlight w:val="yellow"/>
              </w:rPr>
            </w:pPr>
            <w:r w:rsidRPr="00BA2162">
              <w:rPr>
                <w:sz w:val="24"/>
                <w:szCs w:val="24"/>
              </w:rPr>
              <w:t>613,29</w:t>
            </w:r>
          </w:p>
        </w:tc>
        <w:tc>
          <w:tcPr>
            <w:tcW w:w="1597" w:type="dxa"/>
            <w:tcBorders>
              <w:top w:val="single" w:sz="6" w:space="0" w:color="FFFFFF"/>
              <w:left w:val="single" w:sz="6" w:space="0" w:color="FFFFFF"/>
              <w:bottom w:val="single" w:sz="6" w:space="0" w:color="FFFFFF"/>
              <w:right w:val="single" w:sz="6" w:space="0" w:color="FFFFFF"/>
            </w:tcBorders>
            <w:shd w:val="clear" w:color="auto" w:fill="E7EDF4"/>
            <w:tcMar>
              <w:top w:w="120" w:type="dxa"/>
              <w:left w:w="120" w:type="dxa"/>
              <w:bottom w:w="120" w:type="dxa"/>
              <w:right w:w="120" w:type="dxa"/>
            </w:tcMar>
            <w:hideMark/>
          </w:tcPr>
          <w:p w14:paraId="5F7916E1" w14:textId="59CF3FC3" w:rsidR="00170736" w:rsidRPr="00E25134" w:rsidRDefault="00170736" w:rsidP="00170736">
            <w:pPr>
              <w:spacing w:after="0" w:line="240" w:lineRule="auto"/>
              <w:rPr>
                <w:rFonts w:eastAsia="Times New Roman" w:cstheme="minorHAnsi"/>
                <w:sz w:val="24"/>
                <w:szCs w:val="24"/>
                <w:highlight w:val="yellow"/>
                <w:lang w:eastAsia="pl-PL"/>
              </w:rPr>
            </w:pPr>
          </w:p>
        </w:tc>
      </w:tr>
    </w:tbl>
    <w:p w14:paraId="2E1FA1AF" w14:textId="1B181808" w:rsidR="00187094" w:rsidRPr="001C6253" w:rsidRDefault="00187094" w:rsidP="00187094">
      <w:pPr>
        <w:shd w:val="clear" w:color="auto" w:fill="FFFFFF"/>
        <w:spacing w:before="312" w:after="312" w:line="240" w:lineRule="auto"/>
        <w:rPr>
          <w:rFonts w:eastAsia="Times New Roman" w:cstheme="minorHAnsi"/>
          <w:color w:val="000000"/>
          <w:sz w:val="24"/>
          <w:szCs w:val="24"/>
          <w:lang w:eastAsia="pl-PL"/>
        </w:rPr>
      </w:pPr>
      <w:r w:rsidRPr="001C6253">
        <w:rPr>
          <w:rFonts w:eastAsia="Times New Roman" w:cstheme="minorHAnsi"/>
          <w:i/>
          <w:iCs/>
          <w:color w:val="000000"/>
          <w:sz w:val="20"/>
          <w:szCs w:val="20"/>
          <w:lang w:eastAsia="pl-PL"/>
        </w:rPr>
        <w:t>* Żaden z podmiotów wnoszących składkę na fundusz przymusowej restrukturyzacji banków za 202</w:t>
      </w:r>
      <w:r w:rsidR="00BA2162">
        <w:rPr>
          <w:rFonts w:eastAsia="Times New Roman" w:cstheme="minorHAnsi"/>
          <w:i/>
          <w:iCs/>
          <w:color w:val="000000"/>
          <w:sz w:val="20"/>
          <w:szCs w:val="20"/>
          <w:lang w:eastAsia="pl-PL"/>
        </w:rPr>
        <w:t>6</w:t>
      </w:r>
      <w:r w:rsidRPr="001C6253">
        <w:rPr>
          <w:rFonts w:eastAsia="Times New Roman" w:cstheme="minorHAnsi"/>
          <w:i/>
          <w:iCs/>
          <w:color w:val="000000"/>
          <w:sz w:val="20"/>
          <w:szCs w:val="20"/>
          <w:lang w:eastAsia="pl-PL"/>
        </w:rPr>
        <w:t> r. w oparciu o ryzyko nie otrzymał nadzwyczajnego wsparcia ze środków publicznych, o którym mowa w art. 6 ust. 8 rozporządzenia nr 2015/63.</w:t>
      </w:r>
    </w:p>
    <w:p w14:paraId="0E8A7CDC" w14:textId="77777777" w:rsidR="00187094" w:rsidRPr="001C6253" w:rsidRDefault="00187094" w:rsidP="00187094">
      <w:pPr>
        <w:shd w:val="clear" w:color="auto" w:fill="FFFFFF"/>
        <w:spacing w:before="312" w:after="312" w:line="240" w:lineRule="auto"/>
        <w:rPr>
          <w:rFonts w:eastAsia="Times New Roman" w:cstheme="minorHAnsi"/>
          <w:i/>
          <w:iCs/>
          <w:color w:val="000000"/>
          <w:sz w:val="20"/>
          <w:szCs w:val="20"/>
          <w:lang w:eastAsia="pl-PL"/>
        </w:rPr>
      </w:pPr>
      <w:r w:rsidRPr="001C6253">
        <w:rPr>
          <w:rFonts w:eastAsia="Times New Roman" w:cstheme="minorHAnsi"/>
          <w:i/>
          <w:iCs/>
          <w:color w:val="000000"/>
          <w:sz w:val="20"/>
          <w:szCs w:val="20"/>
          <w:lang w:eastAsia="pl-PL"/>
        </w:rPr>
        <w:t xml:space="preserve">** Wyliczony zgodnie z krokiem 5 pkt 3 Załącznika I do rozporządzenia nr 2015/63.  </w:t>
      </w:r>
    </w:p>
    <w:p w14:paraId="3E31A8E3" w14:textId="77777777" w:rsidR="00A94FE6" w:rsidRPr="00244D55" w:rsidRDefault="00A94FE6">
      <w:pPr>
        <w:rPr>
          <w:rFonts w:eastAsia="Times New Roman" w:cstheme="minorHAnsi"/>
          <w:color w:val="264C80"/>
          <w:kern w:val="36"/>
          <w:szCs w:val="45"/>
          <w:highlight w:val="yellow"/>
          <w:lang w:eastAsia="pl-PL"/>
        </w:rPr>
      </w:pPr>
    </w:p>
    <w:p w14:paraId="1228E5EF" w14:textId="145F8341" w:rsidR="00A94FE6" w:rsidRPr="008F6BB8" w:rsidRDefault="00A94FE6" w:rsidP="00A94FE6">
      <w:pPr>
        <w:shd w:val="clear" w:color="auto" w:fill="FFFFFF"/>
        <w:spacing w:before="240" w:after="240" w:line="240" w:lineRule="auto"/>
        <w:outlineLvl w:val="3"/>
        <w:rPr>
          <w:rFonts w:eastAsia="Times New Roman" w:cstheme="minorHAnsi"/>
          <w:color w:val="264C80"/>
          <w:sz w:val="33"/>
          <w:szCs w:val="33"/>
          <w:lang w:eastAsia="pl-PL"/>
        </w:rPr>
      </w:pPr>
      <w:r w:rsidRPr="008F6BB8">
        <w:rPr>
          <w:rFonts w:eastAsia="Times New Roman" w:cstheme="minorHAnsi"/>
          <w:color w:val="264C80"/>
          <w:sz w:val="33"/>
          <w:szCs w:val="33"/>
          <w:lang w:eastAsia="pl-PL"/>
        </w:rPr>
        <w:t xml:space="preserve">Informacja o rozkładach liczebności podmiotów wg wartości mnożnika korekty o ryzyko </w:t>
      </w:r>
    </w:p>
    <w:p w14:paraId="1097CBBB" w14:textId="5FA4AA35" w:rsidR="00A150B5" w:rsidRDefault="00A94FE6" w:rsidP="001A2290">
      <w:pPr>
        <w:shd w:val="clear" w:color="auto" w:fill="FFFFFF"/>
        <w:spacing w:before="312" w:after="312" w:line="240" w:lineRule="auto"/>
        <w:rPr>
          <w:highlight w:val="yellow"/>
          <w:lang w:eastAsia="pl-PL"/>
        </w:rPr>
      </w:pPr>
      <w:r w:rsidRPr="008F6BB8">
        <w:rPr>
          <w:rFonts w:eastAsia="Times New Roman" w:cstheme="minorHAnsi"/>
          <w:iCs/>
          <w:color w:val="000000"/>
          <w:sz w:val="24"/>
          <w:szCs w:val="20"/>
          <w:lang w:eastAsia="pl-PL"/>
        </w:rPr>
        <w:t>Poniższa tabela zawiera informacje o rozkładach liczebności podmiotów wg wartości mnożnika korekty o ryzyko. Dodatkowo zaprezentowano przedziały wartości ostatecznego złożonego wskaźnika FCI odpowiadające poszczególnym przedziałom wartości mnożnika. Tabele dla wszystkich okresów składkowych (lata 2017-</w:t>
      </w:r>
      <w:r w:rsidR="0078717E" w:rsidRPr="008F6BB8">
        <w:rPr>
          <w:rFonts w:eastAsia="Times New Roman" w:cstheme="minorHAnsi"/>
          <w:iCs/>
          <w:color w:val="000000"/>
          <w:sz w:val="24"/>
          <w:szCs w:val="20"/>
          <w:lang w:eastAsia="pl-PL"/>
        </w:rPr>
        <w:t>202</w:t>
      </w:r>
      <w:r w:rsidR="003248C2">
        <w:rPr>
          <w:rFonts w:eastAsia="Times New Roman" w:cstheme="minorHAnsi"/>
          <w:iCs/>
          <w:color w:val="000000"/>
          <w:sz w:val="24"/>
          <w:szCs w:val="20"/>
          <w:lang w:eastAsia="pl-PL"/>
        </w:rPr>
        <w:t>6</w:t>
      </w:r>
      <w:r w:rsidRPr="008F6BB8">
        <w:rPr>
          <w:rFonts w:eastAsia="Times New Roman" w:cstheme="minorHAnsi"/>
          <w:iCs/>
          <w:color w:val="000000"/>
          <w:sz w:val="24"/>
          <w:szCs w:val="20"/>
          <w:lang w:eastAsia="pl-PL"/>
        </w:rPr>
        <w:t>) zaprezentowano w oddzielnej zakładce.</w:t>
      </w:r>
    </w:p>
    <w:p w14:paraId="2762E175" w14:textId="77777777" w:rsidR="00A45DB0" w:rsidRDefault="00A45DB0">
      <w:pPr>
        <w:rPr>
          <w:highlight w:val="yellow"/>
          <w:lang w:eastAsia="pl-PL"/>
        </w:rPr>
      </w:pPr>
    </w:p>
    <w:tbl>
      <w:tblPr>
        <w:tblW w:w="8792" w:type="dxa"/>
        <w:tblCellMar>
          <w:left w:w="70" w:type="dxa"/>
          <w:right w:w="70" w:type="dxa"/>
        </w:tblCellMar>
        <w:tblLook w:val="04A0" w:firstRow="1" w:lastRow="0" w:firstColumn="1" w:lastColumn="0" w:noHBand="0" w:noVBand="1"/>
      </w:tblPr>
      <w:tblGrid>
        <w:gridCol w:w="2408"/>
        <w:gridCol w:w="2896"/>
        <w:gridCol w:w="3488"/>
      </w:tblGrid>
      <w:tr w:rsidR="00A45DB0" w:rsidRPr="00A45DB0" w14:paraId="1A21B85E" w14:textId="77777777" w:rsidTr="00A45DB0">
        <w:trPr>
          <w:trHeight w:val="255"/>
        </w:trPr>
        <w:tc>
          <w:tcPr>
            <w:tcW w:w="2408" w:type="dxa"/>
            <w:tcBorders>
              <w:top w:val="single" w:sz="4" w:space="0" w:color="95B3D7"/>
              <w:left w:val="single" w:sz="4" w:space="0" w:color="95B3D7"/>
              <w:bottom w:val="single" w:sz="4" w:space="0" w:color="95B3D7"/>
              <w:right w:val="nil"/>
            </w:tcBorders>
            <w:shd w:val="clear" w:color="4F81BD" w:fill="4F81BD"/>
            <w:noWrap/>
            <w:vAlign w:val="bottom"/>
            <w:hideMark/>
          </w:tcPr>
          <w:p w14:paraId="1CD59B48" w14:textId="77777777" w:rsidR="00A45DB0" w:rsidRPr="00A45DB0" w:rsidRDefault="00A45DB0" w:rsidP="00A45DB0">
            <w:pPr>
              <w:spacing w:after="0" w:line="240" w:lineRule="auto"/>
              <w:jc w:val="center"/>
              <w:rPr>
                <w:rFonts w:ascii="Tahoma" w:eastAsia="Times New Roman" w:hAnsi="Tahoma" w:cs="Tahoma"/>
                <w:b/>
                <w:bCs/>
                <w:color w:val="FFFFFF"/>
                <w:sz w:val="20"/>
                <w:szCs w:val="20"/>
                <w:lang w:eastAsia="pl-PL"/>
              </w:rPr>
            </w:pPr>
            <w:r w:rsidRPr="00A45DB0">
              <w:rPr>
                <w:rFonts w:ascii="Tahoma" w:eastAsia="Times New Roman" w:hAnsi="Tahoma" w:cs="Tahoma"/>
                <w:b/>
                <w:bCs/>
                <w:color w:val="FFFFFF"/>
                <w:sz w:val="20"/>
                <w:szCs w:val="20"/>
                <w:lang w:eastAsia="pl-PL"/>
              </w:rPr>
              <w:t>Wartość mnożnika</w:t>
            </w:r>
          </w:p>
        </w:tc>
        <w:tc>
          <w:tcPr>
            <w:tcW w:w="2896" w:type="dxa"/>
            <w:tcBorders>
              <w:top w:val="single" w:sz="4" w:space="0" w:color="95B3D7"/>
              <w:left w:val="nil"/>
              <w:bottom w:val="single" w:sz="4" w:space="0" w:color="95B3D7"/>
              <w:right w:val="nil"/>
            </w:tcBorders>
            <w:shd w:val="clear" w:color="4F81BD" w:fill="4F81BD"/>
            <w:noWrap/>
            <w:vAlign w:val="bottom"/>
            <w:hideMark/>
          </w:tcPr>
          <w:p w14:paraId="49B2EBF4" w14:textId="77777777" w:rsidR="00A45DB0" w:rsidRPr="00A45DB0" w:rsidRDefault="00A45DB0" w:rsidP="00A45DB0">
            <w:pPr>
              <w:spacing w:after="0" w:line="240" w:lineRule="auto"/>
              <w:jc w:val="center"/>
              <w:rPr>
                <w:rFonts w:ascii="Tahoma" w:eastAsia="Times New Roman" w:hAnsi="Tahoma" w:cs="Tahoma"/>
                <w:b/>
                <w:bCs/>
                <w:color w:val="FFFFFF"/>
                <w:sz w:val="20"/>
                <w:szCs w:val="20"/>
                <w:lang w:eastAsia="pl-PL"/>
              </w:rPr>
            </w:pPr>
            <w:r w:rsidRPr="00A45DB0">
              <w:rPr>
                <w:rFonts w:ascii="Tahoma" w:eastAsia="Times New Roman" w:hAnsi="Tahoma" w:cs="Tahoma"/>
                <w:b/>
                <w:bCs/>
                <w:color w:val="FFFFFF"/>
                <w:sz w:val="20"/>
                <w:szCs w:val="20"/>
                <w:lang w:eastAsia="pl-PL"/>
              </w:rPr>
              <w:t>Przedziały wartości FCI</w:t>
            </w:r>
          </w:p>
        </w:tc>
        <w:tc>
          <w:tcPr>
            <w:tcW w:w="3488" w:type="dxa"/>
            <w:tcBorders>
              <w:top w:val="single" w:sz="4" w:space="0" w:color="95B3D7"/>
              <w:left w:val="nil"/>
              <w:bottom w:val="single" w:sz="4" w:space="0" w:color="95B3D7"/>
              <w:right w:val="single" w:sz="4" w:space="0" w:color="95B3D7"/>
            </w:tcBorders>
            <w:shd w:val="clear" w:color="4F81BD" w:fill="4F81BD"/>
            <w:noWrap/>
            <w:vAlign w:val="bottom"/>
            <w:hideMark/>
          </w:tcPr>
          <w:p w14:paraId="7012BE76" w14:textId="77777777" w:rsidR="00A45DB0" w:rsidRPr="00A45DB0" w:rsidRDefault="00A45DB0" w:rsidP="00A45DB0">
            <w:pPr>
              <w:spacing w:after="0" w:line="240" w:lineRule="auto"/>
              <w:jc w:val="center"/>
              <w:rPr>
                <w:rFonts w:ascii="Tahoma" w:eastAsia="Times New Roman" w:hAnsi="Tahoma" w:cs="Tahoma"/>
                <w:b/>
                <w:bCs/>
                <w:color w:val="FFFFFF"/>
                <w:sz w:val="20"/>
                <w:szCs w:val="20"/>
                <w:lang w:eastAsia="pl-PL"/>
              </w:rPr>
            </w:pPr>
            <w:r w:rsidRPr="00A45DB0">
              <w:rPr>
                <w:rFonts w:ascii="Tahoma" w:eastAsia="Times New Roman" w:hAnsi="Tahoma" w:cs="Tahoma"/>
                <w:b/>
                <w:bCs/>
                <w:color w:val="FFFFFF"/>
                <w:sz w:val="20"/>
                <w:szCs w:val="20"/>
                <w:lang w:eastAsia="pl-PL"/>
              </w:rPr>
              <w:t>Liczba instytucji w przedziale</w:t>
            </w:r>
          </w:p>
        </w:tc>
      </w:tr>
      <w:tr w:rsidR="00B918DD" w:rsidRPr="00A45DB0" w14:paraId="07E4B4D6" w14:textId="77777777" w:rsidTr="00FC6B0D">
        <w:trPr>
          <w:trHeight w:val="255"/>
        </w:trPr>
        <w:tc>
          <w:tcPr>
            <w:tcW w:w="2408" w:type="dxa"/>
            <w:tcBorders>
              <w:top w:val="single" w:sz="4" w:space="0" w:color="95B3D7"/>
              <w:left w:val="single" w:sz="4" w:space="0" w:color="95B3D7"/>
              <w:bottom w:val="single" w:sz="4" w:space="0" w:color="95B3D7"/>
              <w:right w:val="nil"/>
            </w:tcBorders>
            <w:shd w:val="clear" w:color="DCE6F1" w:fill="DCE6F1"/>
            <w:noWrap/>
            <w:vAlign w:val="bottom"/>
            <w:hideMark/>
          </w:tcPr>
          <w:p w14:paraId="1AAABF99" w14:textId="77777777" w:rsidR="00B918DD" w:rsidRPr="00A45DB0" w:rsidRDefault="00B918DD" w:rsidP="00B918DD">
            <w:pPr>
              <w:spacing w:after="0" w:line="240" w:lineRule="auto"/>
              <w:jc w:val="center"/>
              <w:rPr>
                <w:rFonts w:ascii="Tahoma" w:eastAsia="Times New Roman" w:hAnsi="Tahoma" w:cs="Tahoma"/>
                <w:color w:val="000000"/>
                <w:sz w:val="20"/>
                <w:szCs w:val="20"/>
                <w:lang w:eastAsia="pl-PL"/>
              </w:rPr>
            </w:pPr>
            <w:r w:rsidRPr="00A45DB0">
              <w:rPr>
                <w:rFonts w:ascii="Tahoma" w:eastAsia="Times New Roman" w:hAnsi="Tahoma" w:cs="Tahoma"/>
                <w:color w:val="000000"/>
                <w:sz w:val="20"/>
                <w:szCs w:val="20"/>
                <w:lang w:eastAsia="pl-PL"/>
              </w:rPr>
              <w:t>0,8 - 0,9</w:t>
            </w:r>
          </w:p>
        </w:tc>
        <w:tc>
          <w:tcPr>
            <w:tcW w:w="2896" w:type="dxa"/>
            <w:tcBorders>
              <w:top w:val="single" w:sz="4" w:space="0" w:color="95B3D7"/>
              <w:left w:val="nil"/>
              <w:bottom w:val="single" w:sz="4" w:space="0" w:color="95B3D7"/>
              <w:right w:val="nil"/>
            </w:tcBorders>
            <w:shd w:val="clear" w:color="DCE6F1" w:fill="DCE6F1"/>
            <w:noWrap/>
            <w:hideMark/>
          </w:tcPr>
          <w:p w14:paraId="23851512" w14:textId="7B824892" w:rsidR="00B918DD" w:rsidRPr="00A45DB0" w:rsidRDefault="00B918DD" w:rsidP="00B918DD">
            <w:pPr>
              <w:spacing w:after="0" w:line="240" w:lineRule="auto"/>
              <w:jc w:val="center"/>
              <w:rPr>
                <w:rFonts w:ascii="Tahoma" w:eastAsia="Times New Roman" w:hAnsi="Tahoma" w:cs="Tahoma"/>
                <w:color w:val="000000"/>
                <w:sz w:val="20"/>
                <w:szCs w:val="20"/>
                <w:lang w:eastAsia="pl-PL"/>
              </w:rPr>
            </w:pPr>
            <w:r w:rsidRPr="00041DC4">
              <w:t xml:space="preserve"> — 311,0</w:t>
            </w:r>
          </w:p>
        </w:tc>
        <w:tc>
          <w:tcPr>
            <w:tcW w:w="3488" w:type="dxa"/>
            <w:tcBorders>
              <w:top w:val="single" w:sz="4" w:space="0" w:color="95B3D7"/>
              <w:left w:val="nil"/>
              <w:bottom w:val="single" w:sz="4" w:space="0" w:color="95B3D7"/>
              <w:right w:val="single" w:sz="4" w:space="0" w:color="95B3D7"/>
            </w:tcBorders>
            <w:shd w:val="clear" w:color="DCE6F1" w:fill="DCE6F1"/>
            <w:noWrap/>
            <w:hideMark/>
          </w:tcPr>
          <w:p w14:paraId="438607C4" w14:textId="01F6DF97" w:rsidR="00B918DD" w:rsidRPr="00A45DB0" w:rsidRDefault="00B918DD" w:rsidP="00B918DD">
            <w:pPr>
              <w:spacing w:after="0" w:line="240" w:lineRule="auto"/>
              <w:jc w:val="center"/>
              <w:rPr>
                <w:rFonts w:ascii="Tahoma" w:eastAsia="Times New Roman" w:hAnsi="Tahoma" w:cs="Tahoma"/>
                <w:color w:val="000000"/>
                <w:sz w:val="20"/>
                <w:szCs w:val="20"/>
                <w:lang w:eastAsia="pl-PL"/>
              </w:rPr>
            </w:pPr>
            <w:r w:rsidRPr="00041DC4">
              <w:t>3</w:t>
            </w:r>
          </w:p>
        </w:tc>
      </w:tr>
      <w:tr w:rsidR="00B918DD" w:rsidRPr="00A45DB0" w14:paraId="6A53C096" w14:textId="77777777" w:rsidTr="00FC6B0D">
        <w:trPr>
          <w:trHeight w:val="255"/>
        </w:trPr>
        <w:tc>
          <w:tcPr>
            <w:tcW w:w="2408" w:type="dxa"/>
            <w:tcBorders>
              <w:top w:val="single" w:sz="4" w:space="0" w:color="95B3D7"/>
              <w:left w:val="single" w:sz="4" w:space="0" w:color="95B3D7"/>
              <w:bottom w:val="single" w:sz="4" w:space="0" w:color="95B3D7"/>
              <w:right w:val="nil"/>
            </w:tcBorders>
            <w:noWrap/>
            <w:vAlign w:val="bottom"/>
            <w:hideMark/>
          </w:tcPr>
          <w:p w14:paraId="6BFA25EB" w14:textId="77777777" w:rsidR="00B918DD" w:rsidRPr="00A45DB0" w:rsidRDefault="00B918DD" w:rsidP="00B918DD">
            <w:pPr>
              <w:spacing w:after="0" w:line="240" w:lineRule="auto"/>
              <w:jc w:val="center"/>
              <w:rPr>
                <w:rFonts w:ascii="Tahoma" w:eastAsia="Times New Roman" w:hAnsi="Tahoma" w:cs="Tahoma"/>
                <w:color w:val="000000"/>
                <w:sz w:val="20"/>
                <w:szCs w:val="20"/>
                <w:lang w:eastAsia="pl-PL"/>
              </w:rPr>
            </w:pPr>
            <w:r w:rsidRPr="00A45DB0">
              <w:rPr>
                <w:rFonts w:ascii="Tahoma" w:eastAsia="Times New Roman" w:hAnsi="Tahoma" w:cs="Tahoma"/>
                <w:color w:val="000000"/>
                <w:sz w:val="20"/>
                <w:szCs w:val="20"/>
                <w:lang w:eastAsia="pl-PL"/>
              </w:rPr>
              <w:t>0,9 - 1,0</w:t>
            </w:r>
          </w:p>
        </w:tc>
        <w:tc>
          <w:tcPr>
            <w:tcW w:w="2896" w:type="dxa"/>
            <w:tcBorders>
              <w:top w:val="single" w:sz="4" w:space="0" w:color="95B3D7"/>
              <w:left w:val="nil"/>
              <w:bottom w:val="single" w:sz="4" w:space="0" w:color="95B3D7"/>
              <w:right w:val="nil"/>
            </w:tcBorders>
            <w:noWrap/>
            <w:hideMark/>
          </w:tcPr>
          <w:p w14:paraId="768DA0B4" w14:textId="65353A29" w:rsidR="00B918DD" w:rsidRPr="00A45DB0" w:rsidRDefault="00B918DD" w:rsidP="00B918DD">
            <w:pPr>
              <w:spacing w:after="0" w:line="240" w:lineRule="auto"/>
              <w:jc w:val="center"/>
              <w:rPr>
                <w:rFonts w:ascii="Tahoma" w:eastAsia="Times New Roman" w:hAnsi="Tahoma" w:cs="Tahoma"/>
                <w:color w:val="000000"/>
                <w:sz w:val="20"/>
                <w:szCs w:val="20"/>
                <w:lang w:eastAsia="pl-PL"/>
              </w:rPr>
            </w:pPr>
            <w:r w:rsidRPr="00041DC4">
              <w:t>311,0 — 424,3</w:t>
            </w:r>
          </w:p>
        </w:tc>
        <w:tc>
          <w:tcPr>
            <w:tcW w:w="3488" w:type="dxa"/>
            <w:tcBorders>
              <w:top w:val="single" w:sz="4" w:space="0" w:color="95B3D7"/>
              <w:left w:val="nil"/>
              <w:bottom w:val="single" w:sz="4" w:space="0" w:color="95B3D7"/>
              <w:right w:val="single" w:sz="4" w:space="0" w:color="95B3D7"/>
            </w:tcBorders>
            <w:noWrap/>
            <w:hideMark/>
          </w:tcPr>
          <w:p w14:paraId="325B0ECE" w14:textId="500018B0" w:rsidR="00B918DD" w:rsidRPr="00A45DB0" w:rsidRDefault="00B918DD" w:rsidP="00B918DD">
            <w:pPr>
              <w:spacing w:after="0" w:line="240" w:lineRule="auto"/>
              <w:jc w:val="center"/>
              <w:rPr>
                <w:rFonts w:ascii="Tahoma" w:eastAsia="Times New Roman" w:hAnsi="Tahoma" w:cs="Tahoma"/>
                <w:color w:val="000000"/>
                <w:sz w:val="20"/>
                <w:szCs w:val="20"/>
                <w:lang w:eastAsia="pl-PL"/>
              </w:rPr>
            </w:pPr>
            <w:r w:rsidRPr="00041DC4">
              <w:t>4</w:t>
            </w:r>
          </w:p>
        </w:tc>
      </w:tr>
      <w:tr w:rsidR="00B918DD" w:rsidRPr="00A45DB0" w14:paraId="2CE97B91" w14:textId="77777777" w:rsidTr="00FC6B0D">
        <w:trPr>
          <w:trHeight w:val="255"/>
        </w:trPr>
        <w:tc>
          <w:tcPr>
            <w:tcW w:w="2408" w:type="dxa"/>
            <w:tcBorders>
              <w:top w:val="single" w:sz="4" w:space="0" w:color="95B3D7"/>
              <w:left w:val="single" w:sz="4" w:space="0" w:color="95B3D7"/>
              <w:bottom w:val="single" w:sz="4" w:space="0" w:color="95B3D7"/>
              <w:right w:val="nil"/>
            </w:tcBorders>
            <w:shd w:val="clear" w:color="DCE6F1" w:fill="DCE6F1"/>
            <w:noWrap/>
            <w:vAlign w:val="bottom"/>
            <w:hideMark/>
          </w:tcPr>
          <w:p w14:paraId="2A102CD6" w14:textId="77777777" w:rsidR="00B918DD" w:rsidRPr="00A45DB0" w:rsidRDefault="00B918DD" w:rsidP="00B918DD">
            <w:pPr>
              <w:spacing w:after="0" w:line="240" w:lineRule="auto"/>
              <w:jc w:val="center"/>
              <w:rPr>
                <w:rFonts w:ascii="Tahoma" w:eastAsia="Times New Roman" w:hAnsi="Tahoma" w:cs="Tahoma"/>
                <w:color w:val="000000"/>
                <w:sz w:val="20"/>
                <w:szCs w:val="20"/>
                <w:lang w:eastAsia="pl-PL"/>
              </w:rPr>
            </w:pPr>
            <w:r w:rsidRPr="00A45DB0">
              <w:rPr>
                <w:rFonts w:ascii="Tahoma" w:eastAsia="Times New Roman" w:hAnsi="Tahoma" w:cs="Tahoma"/>
                <w:color w:val="000000"/>
                <w:sz w:val="20"/>
                <w:szCs w:val="20"/>
                <w:lang w:eastAsia="pl-PL"/>
              </w:rPr>
              <w:t>1,0 - 1,1</w:t>
            </w:r>
          </w:p>
        </w:tc>
        <w:tc>
          <w:tcPr>
            <w:tcW w:w="2896" w:type="dxa"/>
            <w:tcBorders>
              <w:top w:val="single" w:sz="4" w:space="0" w:color="95B3D7"/>
              <w:left w:val="nil"/>
              <w:bottom w:val="single" w:sz="4" w:space="0" w:color="95B3D7"/>
              <w:right w:val="nil"/>
            </w:tcBorders>
            <w:shd w:val="clear" w:color="DCE6F1" w:fill="DCE6F1"/>
            <w:noWrap/>
            <w:hideMark/>
          </w:tcPr>
          <w:p w14:paraId="4994C843" w14:textId="131E82D1" w:rsidR="00B918DD" w:rsidRPr="00A45DB0" w:rsidRDefault="00B918DD" w:rsidP="00B918DD">
            <w:pPr>
              <w:spacing w:after="0" w:line="240" w:lineRule="auto"/>
              <w:jc w:val="center"/>
              <w:rPr>
                <w:rFonts w:ascii="Tahoma" w:eastAsia="Times New Roman" w:hAnsi="Tahoma" w:cs="Tahoma"/>
                <w:color w:val="000000"/>
                <w:sz w:val="20"/>
                <w:szCs w:val="20"/>
                <w:lang w:eastAsia="pl-PL"/>
              </w:rPr>
            </w:pPr>
            <w:r w:rsidRPr="00041DC4">
              <w:t>424,3 — 507,7</w:t>
            </w:r>
          </w:p>
        </w:tc>
        <w:tc>
          <w:tcPr>
            <w:tcW w:w="3488" w:type="dxa"/>
            <w:tcBorders>
              <w:top w:val="single" w:sz="4" w:space="0" w:color="95B3D7"/>
              <w:left w:val="nil"/>
              <w:bottom w:val="single" w:sz="4" w:space="0" w:color="95B3D7"/>
              <w:right w:val="single" w:sz="4" w:space="0" w:color="95B3D7"/>
            </w:tcBorders>
            <w:shd w:val="clear" w:color="DCE6F1" w:fill="DCE6F1"/>
            <w:noWrap/>
            <w:hideMark/>
          </w:tcPr>
          <w:p w14:paraId="6BD386DB" w14:textId="08B23082" w:rsidR="00B918DD" w:rsidRPr="00A45DB0" w:rsidRDefault="00B918DD" w:rsidP="00B918DD">
            <w:pPr>
              <w:spacing w:after="0" w:line="240" w:lineRule="auto"/>
              <w:jc w:val="center"/>
              <w:rPr>
                <w:rFonts w:ascii="Tahoma" w:eastAsia="Times New Roman" w:hAnsi="Tahoma" w:cs="Tahoma"/>
                <w:color w:val="000000"/>
                <w:sz w:val="20"/>
                <w:szCs w:val="20"/>
                <w:lang w:eastAsia="pl-PL"/>
              </w:rPr>
            </w:pPr>
            <w:r w:rsidRPr="00041DC4">
              <w:t>2</w:t>
            </w:r>
          </w:p>
        </w:tc>
      </w:tr>
      <w:tr w:rsidR="00B918DD" w:rsidRPr="00A45DB0" w14:paraId="6F5A4582" w14:textId="77777777" w:rsidTr="00FC6B0D">
        <w:trPr>
          <w:trHeight w:val="255"/>
        </w:trPr>
        <w:tc>
          <w:tcPr>
            <w:tcW w:w="2408" w:type="dxa"/>
            <w:tcBorders>
              <w:top w:val="single" w:sz="4" w:space="0" w:color="95B3D7"/>
              <w:left w:val="single" w:sz="4" w:space="0" w:color="95B3D7"/>
              <w:bottom w:val="single" w:sz="4" w:space="0" w:color="95B3D7"/>
              <w:right w:val="nil"/>
            </w:tcBorders>
            <w:noWrap/>
            <w:vAlign w:val="bottom"/>
            <w:hideMark/>
          </w:tcPr>
          <w:p w14:paraId="143634D5" w14:textId="77777777" w:rsidR="00B918DD" w:rsidRPr="00A45DB0" w:rsidRDefault="00B918DD" w:rsidP="00B918DD">
            <w:pPr>
              <w:spacing w:after="0" w:line="240" w:lineRule="auto"/>
              <w:jc w:val="center"/>
              <w:rPr>
                <w:rFonts w:ascii="Tahoma" w:eastAsia="Times New Roman" w:hAnsi="Tahoma" w:cs="Tahoma"/>
                <w:color w:val="000000"/>
                <w:sz w:val="20"/>
                <w:szCs w:val="20"/>
                <w:lang w:eastAsia="pl-PL"/>
              </w:rPr>
            </w:pPr>
            <w:r w:rsidRPr="00A45DB0">
              <w:rPr>
                <w:rFonts w:ascii="Tahoma" w:eastAsia="Times New Roman" w:hAnsi="Tahoma" w:cs="Tahoma"/>
                <w:color w:val="000000"/>
                <w:sz w:val="20"/>
                <w:szCs w:val="20"/>
                <w:lang w:eastAsia="pl-PL"/>
              </w:rPr>
              <w:t>1,1 - 1,2</w:t>
            </w:r>
          </w:p>
        </w:tc>
        <w:tc>
          <w:tcPr>
            <w:tcW w:w="2896" w:type="dxa"/>
            <w:tcBorders>
              <w:top w:val="single" w:sz="4" w:space="0" w:color="95B3D7"/>
              <w:left w:val="nil"/>
              <w:bottom w:val="single" w:sz="4" w:space="0" w:color="95B3D7"/>
              <w:right w:val="nil"/>
            </w:tcBorders>
            <w:noWrap/>
            <w:hideMark/>
          </w:tcPr>
          <w:p w14:paraId="7E9589F8" w14:textId="6FBEDD25" w:rsidR="00B918DD" w:rsidRPr="00A45DB0" w:rsidRDefault="00B918DD" w:rsidP="00B918DD">
            <w:pPr>
              <w:spacing w:after="0" w:line="240" w:lineRule="auto"/>
              <w:jc w:val="center"/>
              <w:rPr>
                <w:rFonts w:ascii="Tahoma" w:eastAsia="Times New Roman" w:hAnsi="Tahoma" w:cs="Tahoma"/>
                <w:color w:val="000000"/>
                <w:sz w:val="20"/>
                <w:szCs w:val="20"/>
                <w:lang w:eastAsia="pl-PL"/>
              </w:rPr>
            </w:pPr>
            <w:r w:rsidRPr="00041DC4">
              <w:t>507,7 — 654,7</w:t>
            </w:r>
          </w:p>
        </w:tc>
        <w:tc>
          <w:tcPr>
            <w:tcW w:w="3488" w:type="dxa"/>
            <w:tcBorders>
              <w:top w:val="single" w:sz="4" w:space="0" w:color="95B3D7"/>
              <w:left w:val="nil"/>
              <w:bottom w:val="single" w:sz="4" w:space="0" w:color="95B3D7"/>
              <w:right w:val="single" w:sz="4" w:space="0" w:color="95B3D7"/>
            </w:tcBorders>
            <w:noWrap/>
            <w:hideMark/>
          </w:tcPr>
          <w:p w14:paraId="49DAF0F2" w14:textId="3758346B" w:rsidR="00B918DD" w:rsidRPr="00A45DB0" w:rsidRDefault="00B918DD" w:rsidP="00B918DD">
            <w:pPr>
              <w:spacing w:after="0" w:line="240" w:lineRule="auto"/>
              <w:jc w:val="center"/>
              <w:rPr>
                <w:rFonts w:ascii="Tahoma" w:eastAsia="Times New Roman" w:hAnsi="Tahoma" w:cs="Tahoma"/>
                <w:color w:val="000000"/>
                <w:sz w:val="20"/>
                <w:szCs w:val="20"/>
                <w:lang w:eastAsia="pl-PL"/>
              </w:rPr>
            </w:pPr>
            <w:r w:rsidRPr="00041DC4">
              <w:t>5</w:t>
            </w:r>
          </w:p>
        </w:tc>
      </w:tr>
      <w:tr w:rsidR="00B918DD" w:rsidRPr="00A45DB0" w14:paraId="35DCC58C" w14:textId="77777777" w:rsidTr="00FC6B0D">
        <w:trPr>
          <w:trHeight w:val="255"/>
        </w:trPr>
        <w:tc>
          <w:tcPr>
            <w:tcW w:w="2408" w:type="dxa"/>
            <w:tcBorders>
              <w:top w:val="single" w:sz="4" w:space="0" w:color="95B3D7"/>
              <w:left w:val="single" w:sz="4" w:space="0" w:color="95B3D7"/>
              <w:bottom w:val="single" w:sz="4" w:space="0" w:color="95B3D7"/>
              <w:right w:val="nil"/>
            </w:tcBorders>
            <w:shd w:val="clear" w:color="DCE6F1" w:fill="DCE6F1"/>
            <w:noWrap/>
            <w:vAlign w:val="bottom"/>
            <w:hideMark/>
          </w:tcPr>
          <w:p w14:paraId="75298502" w14:textId="77777777" w:rsidR="00B918DD" w:rsidRPr="00A45DB0" w:rsidRDefault="00B918DD" w:rsidP="00B918DD">
            <w:pPr>
              <w:spacing w:after="0" w:line="240" w:lineRule="auto"/>
              <w:jc w:val="center"/>
              <w:rPr>
                <w:rFonts w:ascii="Tahoma" w:eastAsia="Times New Roman" w:hAnsi="Tahoma" w:cs="Tahoma"/>
                <w:color w:val="000000"/>
                <w:sz w:val="20"/>
                <w:szCs w:val="20"/>
                <w:lang w:eastAsia="pl-PL"/>
              </w:rPr>
            </w:pPr>
            <w:r w:rsidRPr="00A45DB0">
              <w:rPr>
                <w:rFonts w:ascii="Tahoma" w:eastAsia="Times New Roman" w:hAnsi="Tahoma" w:cs="Tahoma"/>
                <w:color w:val="000000"/>
                <w:sz w:val="20"/>
                <w:szCs w:val="20"/>
                <w:lang w:eastAsia="pl-PL"/>
              </w:rPr>
              <w:t>1,2 - 1,3</w:t>
            </w:r>
          </w:p>
        </w:tc>
        <w:tc>
          <w:tcPr>
            <w:tcW w:w="2896" w:type="dxa"/>
            <w:tcBorders>
              <w:top w:val="single" w:sz="4" w:space="0" w:color="95B3D7"/>
              <w:left w:val="nil"/>
              <w:bottom w:val="single" w:sz="4" w:space="0" w:color="95B3D7"/>
              <w:right w:val="nil"/>
            </w:tcBorders>
            <w:shd w:val="clear" w:color="DCE6F1" w:fill="DCE6F1"/>
            <w:noWrap/>
            <w:hideMark/>
          </w:tcPr>
          <w:p w14:paraId="54E0966F" w14:textId="1AFCBB21" w:rsidR="00B918DD" w:rsidRPr="00A45DB0" w:rsidRDefault="00B918DD" w:rsidP="00B918DD">
            <w:pPr>
              <w:spacing w:after="0" w:line="240" w:lineRule="auto"/>
              <w:jc w:val="center"/>
              <w:rPr>
                <w:rFonts w:ascii="Tahoma" w:eastAsia="Times New Roman" w:hAnsi="Tahoma" w:cs="Tahoma"/>
                <w:color w:val="000000"/>
                <w:sz w:val="20"/>
                <w:szCs w:val="20"/>
                <w:lang w:eastAsia="pl-PL"/>
              </w:rPr>
            </w:pPr>
            <w:r w:rsidRPr="00041DC4">
              <w:t>654,7 — 716,7</w:t>
            </w:r>
          </w:p>
        </w:tc>
        <w:tc>
          <w:tcPr>
            <w:tcW w:w="3488" w:type="dxa"/>
            <w:tcBorders>
              <w:top w:val="single" w:sz="4" w:space="0" w:color="95B3D7"/>
              <w:left w:val="nil"/>
              <w:bottom w:val="single" w:sz="4" w:space="0" w:color="95B3D7"/>
              <w:right w:val="single" w:sz="4" w:space="0" w:color="95B3D7"/>
            </w:tcBorders>
            <w:shd w:val="clear" w:color="DCE6F1" w:fill="DCE6F1"/>
            <w:noWrap/>
            <w:hideMark/>
          </w:tcPr>
          <w:p w14:paraId="46F81224" w14:textId="5E9C9BB2" w:rsidR="00B918DD" w:rsidRPr="00A45DB0" w:rsidRDefault="00B918DD" w:rsidP="00B918DD">
            <w:pPr>
              <w:spacing w:after="0" w:line="240" w:lineRule="auto"/>
              <w:jc w:val="center"/>
              <w:rPr>
                <w:rFonts w:ascii="Tahoma" w:eastAsia="Times New Roman" w:hAnsi="Tahoma" w:cs="Tahoma"/>
                <w:color w:val="000000"/>
                <w:sz w:val="20"/>
                <w:szCs w:val="20"/>
                <w:lang w:eastAsia="pl-PL"/>
              </w:rPr>
            </w:pPr>
            <w:r w:rsidRPr="00041DC4">
              <w:t>3</w:t>
            </w:r>
          </w:p>
        </w:tc>
      </w:tr>
      <w:tr w:rsidR="00B918DD" w:rsidRPr="00A45DB0" w14:paraId="5F0507F2" w14:textId="77777777" w:rsidTr="00FC6B0D">
        <w:trPr>
          <w:trHeight w:val="255"/>
        </w:trPr>
        <w:tc>
          <w:tcPr>
            <w:tcW w:w="2408" w:type="dxa"/>
            <w:tcBorders>
              <w:top w:val="single" w:sz="4" w:space="0" w:color="95B3D7"/>
              <w:left w:val="single" w:sz="4" w:space="0" w:color="95B3D7"/>
              <w:bottom w:val="single" w:sz="4" w:space="0" w:color="95B3D7"/>
              <w:right w:val="nil"/>
            </w:tcBorders>
            <w:noWrap/>
            <w:vAlign w:val="bottom"/>
            <w:hideMark/>
          </w:tcPr>
          <w:p w14:paraId="719356DC" w14:textId="77777777" w:rsidR="00B918DD" w:rsidRPr="00A45DB0" w:rsidRDefault="00B918DD" w:rsidP="00B918DD">
            <w:pPr>
              <w:spacing w:after="0" w:line="240" w:lineRule="auto"/>
              <w:jc w:val="center"/>
              <w:rPr>
                <w:rFonts w:ascii="Tahoma" w:eastAsia="Times New Roman" w:hAnsi="Tahoma" w:cs="Tahoma"/>
                <w:color w:val="000000"/>
                <w:sz w:val="20"/>
                <w:szCs w:val="20"/>
                <w:lang w:eastAsia="pl-PL"/>
              </w:rPr>
            </w:pPr>
            <w:r w:rsidRPr="00A45DB0">
              <w:rPr>
                <w:rFonts w:ascii="Tahoma" w:eastAsia="Times New Roman" w:hAnsi="Tahoma" w:cs="Tahoma"/>
                <w:color w:val="000000"/>
                <w:sz w:val="20"/>
                <w:szCs w:val="20"/>
                <w:lang w:eastAsia="pl-PL"/>
              </w:rPr>
              <w:t>1,3 - 1,4</w:t>
            </w:r>
          </w:p>
        </w:tc>
        <w:tc>
          <w:tcPr>
            <w:tcW w:w="2896" w:type="dxa"/>
            <w:tcBorders>
              <w:top w:val="single" w:sz="4" w:space="0" w:color="95B3D7"/>
              <w:left w:val="nil"/>
              <w:bottom w:val="single" w:sz="4" w:space="0" w:color="95B3D7"/>
              <w:right w:val="nil"/>
            </w:tcBorders>
            <w:noWrap/>
            <w:hideMark/>
          </w:tcPr>
          <w:p w14:paraId="3C782F4E" w14:textId="674253CD" w:rsidR="00B918DD" w:rsidRPr="00A45DB0" w:rsidRDefault="00B918DD" w:rsidP="00B918DD">
            <w:pPr>
              <w:spacing w:after="0" w:line="240" w:lineRule="auto"/>
              <w:jc w:val="center"/>
              <w:rPr>
                <w:rFonts w:ascii="Tahoma" w:eastAsia="Times New Roman" w:hAnsi="Tahoma" w:cs="Tahoma"/>
                <w:color w:val="000000"/>
                <w:sz w:val="20"/>
                <w:szCs w:val="20"/>
                <w:lang w:eastAsia="pl-PL"/>
              </w:rPr>
            </w:pPr>
            <w:r w:rsidRPr="00041DC4">
              <w:t>716,7 — 854,0</w:t>
            </w:r>
          </w:p>
        </w:tc>
        <w:tc>
          <w:tcPr>
            <w:tcW w:w="3488" w:type="dxa"/>
            <w:tcBorders>
              <w:top w:val="single" w:sz="4" w:space="0" w:color="95B3D7"/>
              <w:left w:val="nil"/>
              <w:bottom w:val="single" w:sz="4" w:space="0" w:color="95B3D7"/>
              <w:right w:val="single" w:sz="4" w:space="0" w:color="95B3D7"/>
            </w:tcBorders>
            <w:noWrap/>
            <w:hideMark/>
          </w:tcPr>
          <w:p w14:paraId="69BBA710" w14:textId="6ECF8039" w:rsidR="00B918DD" w:rsidRPr="00A45DB0" w:rsidRDefault="00B918DD" w:rsidP="00B918DD">
            <w:pPr>
              <w:spacing w:after="0" w:line="240" w:lineRule="auto"/>
              <w:jc w:val="center"/>
              <w:rPr>
                <w:rFonts w:ascii="Tahoma" w:eastAsia="Times New Roman" w:hAnsi="Tahoma" w:cs="Tahoma"/>
                <w:color w:val="000000"/>
                <w:sz w:val="20"/>
                <w:szCs w:val="20"/>
                <w:lang w:eastAsia="pl-PL"/>
              </w:rPr>
            </w:pPr>
            <w:r w:rsidRPr="00041DC4">
              <w:t>5</w:t>
            </w:r>
          </w:p>
        </w:tc>
      </w:tr>
      <w:tr w:rsidR="00B918DD" w:rsidRPr="00A45DB0" w14:paraId="1DCA0351" w14:textId="77777777" w:rsidTr="00FC6B0D">
        <w:trPr>
          <w:trHeight w:val="255"/>
        </w:trPr>
        <w:tc>
          <w:tcPr>
            <w:tcW w:w="2408" w:type="dxa"/>
            <w:tcBorders>
              <w:top w:val="single" w:sz="4" w:space="0" w:color="95B3D7"/>
              <w:left w:val="single" w:sz="4" w:space="0" w:color="95B3D7"/>
              <w:bottom w:val="single" w:sz="4" w:space="0" w:color="95B3D7"/>
              <w:right w:val="nil"/>
            </w:tcBorders>
            <w:shd w:val="clear" w:color="DCE6F1" w:fill="DCE6F1"/>
            <w:noWrap/>
            <w:vAlign w:val="bottom"/>
            <w:hideMark/>
          </w:tcPr>
          <w:p w14:paraId="5F0EC7C6" w14:textId="77777777" w:rsidR="00B918DD" w:rsidRPr="00A45DB0" w:rsidRDefault="00B918DD" w:rsidP="00B918DD">
            <w:pPr>
              <w:spacing w:after="0" w:line="240" w:lineRule="auto"/>
              <w:jc w:val="center"/>
              <w:rPr>
                <w:rFonts w:ascii="Tahoma" w:eastAsia="Times New Roman" w:hAnsi="Tahoma" w:cs="Tahoma"/>
                <w:color w:val="000000"/>
                <w:sz w:val="20"/>
                <w:szCs w:val="20"/>
                <w:lang w:eastAsia="pl-PL"/>
              </w:rPr>
            </w:pPr>
            <w:r w:rsidRPr="00A45DB0">
              <w:rPr>
                <w:rFonts w:ascii="Tahoma" w:eastAsia="Times New Roman" w:hAnsi="Tahoma" w:cs="Tahoma"/>
                <w:color w:val="000000"/>
                <w:sz w:val="20"/>
                <w:szCs w:val="20"/>
                <w:lang w:eastAsia="pl-PL"/>
              </w:rPr>
              <w:t>1,4 - 1,5</w:t>
            </w:r>
          </w:p>
        </w:tc>
        <w:tc>
          <w:tcPr>
            <w:tcW w:w="2896" w:type="dxa"/>
            <w:tcBorders>
              <w:top w:val="single" w:sz="4" w:space="0" w:color="95B3D7"/>
              <w:left w:val="nil"/>
              <w:bottom w:val="single" w:sz="4" w:space="0" w:color="95B3D7"/>
              <w:right w:val="nil"/>
            </w:tcBorders>
            <w:shd w:val="clear" w:color="DCE6F1" w:fill="DCE6F1"/>
            <w:noWrap/>
            <w:hideMark/>
          </w:tcPr>
          <w:p w14:paraId="5512D03E" w14:textId="566BE415" w:rsidR="00B918DD" w:rsidRPr="00A45DB0" w:rsidRDefault="00B918DD" w:rsidP="00B918DD">
            <w:pPr>
              <w:spacing w:after="0" w:line="240" w:lineRule="auto"/>
              <w:jc w:val="center"/>
              <w:rPr>
                <w:rFonts w:ascii="Tahoma" w:eastAsia="Times New Roman" w:hAnsi="Tahoma" w:cs="Tahoma"/>
                <w:color w:val="000000"/>
                <w:sz w:val="20"/>
                <w:szCs w:val="20"/>
                <w:lang w:eastAsia="pl-PL"/>
              </w:rPr>
            </w:pPr>
            <w:r w:rsidRPr="00041DC4">
              <w:t xml:space="preserve">854,0 — </w:t>
            </w:r>
          </w:p>
        </w:tc>
        <w:tc>
          <w:tcPr>
            <w:tcW w:w="3488" w:type="dxa"/>
            <w:tcBorders>
              <w:top w:val="single" w:sz="4" w:space="0" w:color="95B3D7"/>
              <w:left w:val="nil"/>
              <w:bottom w:val="single" w:sz="4" w:space="0" w:color="95B3D7"/>
              <w:right w:val="single" w:sz="4" w:space="0" w:color="95B3D7"/>
            </w:tcBorders>
            <w:shd w:val="clear" w:color="DCE6F1" w:fill="DCE6F1"/>
            <w:noWrap/>
            <w:hideMark/>
          </w:tcPr>
          <w:p w14:paraId="4DCBC825" w14:textId="6D3A1B1E" w:rsidR="00B918DD" w:rsidRPr="00A45DB0" w:rsidRDefault="00B918DD" w:rsidP="00B918DD">
            <w:pPr>
              <w:spacing w:after="0" w:line="240" w:lineRule="auto"/>
              <w:jc w:val="center"/>
              <w:rPr>
                <w:rFonts w:ascii="Tahoma" w:eastAsia="Times New Roman" w:hAnsi="Tahoma" w:cs="Tahoma"/>
                <w:color w:val="000000"/>
                <w:sz w:val="20"/>
                <w:szCs w:val="20"/>
                <w:lang w:eastAsia="pl-PL"/>
              </w:rPr>
            </w:pPr>
            <w:r w:rsidRPr="00041DC4">
              <w:t>3</w:t>
            </w:r>
          </w:p>
        </w:tc>
      </w:tr>
      <w:tr w:rsidR="00A45DB0" w:rsidRPr="00A45DB0" w14:paraId="59113A7A" w14:textId="77777777" w:rsidTr="00A45DB0">
        <w:trPr>
          <w:trHeight w:val="255"/>
        </w:trPr>
        <w:tc>
          <w:tcPr>
            <w:tcW w:w="2408" w:type="dxa"/>
            <w:tcBorders>
              <w:top w:val="double" w:sz="6" w:space="0" w:color="4F81BD"/>
              <w:left w:val="single" w:sz="4" w:space="0" w:color="95B3D7"/>
              <w:bottom w:val="single" w:sz="4" w:space="0" w:color="95B3D7"/>
              <w:right w:val="nil"/>
            </w:tcBorders>
            <w:noWrap/>
            <w:vAlign w:val="bottom"/>
            <w:hideMark/>
          </w:tcPr>
          <w:p w14:paraId="69EE0607" w14:textId="77777777" w:rsidR="00A45DB0" w:rsidRPr="00A45DB0" w:rsidRDefault="00A45DB0" w:rsidP="00A45DB0">
            <w:pPr>
              <w:spacing w:after="0" w:line="240" w:lineRule="auto"/>
              <w:jc w:val="center"/>
              <w:rPr>
                <w:rFonts w:ascii="Tahoma" w:eastAsia="Times New Roman" w:hAnsi="Tahoma" w:cs="Tahoma"/>
                <w:color w:val="000000"/>
                <w:sz w:val="20"/>
                <w:szCs w:val="20"/>
                <w:lang w:eastAsia="pl-PL"/>
              </w:rPr>
            </w:pPr>
          </w:p>
        </w:tc>
        <w:tc>
          <w:tcPr>
            <w:tcW w:w="2896" w:type="dxa"/>
            <w:tcBorders>
              <w:top w:val="double" w:sz="6" w:space="0" w:color="4F81BD"/>
              <w:left w:val="nil"/>
              <w:bottom w:val="single" w:sz="4" w:space="0" w:color="95B3D7"/>
              <w:right w:val="nil"/>
            </w:tcBorders>
            <w:noWrap/>
            <w:vAlign w:val="bottom"/>
            <w:hideMark/>
          </w:tcPr>
          <w:p w14:paraId="6B6A1EF2" w14:textId="606BE7A7" w:rsidR="00A45DB0" w:rsidRPr="00A45DB0" w:rsidRDefault="00A45DB0" w:rsidP="00A45DB0">
            <w:pPr>
              <w:spacing w:after="0" w:line="240" w:lineRule="auto"/>
              <w:jc w:val="center"/>
              <w:rPr>
                <w:rFonts w:ascii="Tahoma" w:eastAsia="Times New Roman" w:hAnsi="Tahoma" w:cs="Tahoma"/>
                <w:b/>
                <w:bCs/>
                <w:color w:val="000000"/>
                <w:sz w:val="20"/>
                <w:szCs w:val="20"/>
                <w:lang w:eastAsia="pl-PL"/>
              </w:rPr>
            </w:pPr>
            <w:r w:rsidRPr="00A45DB0">
              <w:rPr>
                <w:rFonts w:ascii="Tahoma" w:eastAsia="Times New Roman" w:hAnsi="Tahoma" w:cs="Tahoma"/>
                <w:b/>
                <w:bCs/>
                <w:color w:val="000000"/>
                <w:sz w:val="20"/>
                <w:szCs w:val="20"/>
                <w:lang w:eastAsia="pl-PL"/>
              </w:rPr>
              <w:t>Razem</w:t>
            </w:r>
            <w:r>
              <w:rPr>
                <w:rFonts w:ascii="Tahoma" w:eastAsia="Times New Roman" w:hAnsi="Tahoma" w:cs="Tahoma"/>
                <w:b/>
                <w:bCs/>
                <w:color w:val="000000"/>
                <w:sz w:val="20"/>
                <w:szCs w:val="20"/>
                <w:lang w:eastAsia="pl-PL"/>
              </w:rPr>
              <w:t>:</w:t>
            </w:r>
          </w:p>
        </w:tc>
        <w:tc>
          <w:tcPr>
            <w:tcW w:w="3488" w:type="dxa"/>
            <w:tcBorders>
              <w:top w:val="double" w:sz="6" w:space="0" w:color="4F81BD"/>
              <w:left w:val="nil"/>
              <w:bottom w:val="single" w:sz="4" w:space="0" w:color="95B3D7"/>
              <w:right w:val="single" w:sz="4" w:space="0" w:color="95B3D7"/>
            </w:tcBorders>
            <w:noWrap/>
            <w:vAlign w:val="bottom"/>
            <w:hideMark/>
          </w:tcPr>
          <w:p w14:paraId="61321309" w14:textId="57D0E1C8" w:rsidR="00A45DB0" w:rsidRPr="00A45DB0" w:rsidRDefault="00A45DB0" w:rsidP="00A45DB0">
            <w:pPr>
              <w:spacing w:after="0" w:line="240" w:lineRule="auto"/>
              <w:jc w:val="center"/>
              <w:rPr>
                <w:rFonts w:ascii="Tahoma" w:eastAsia="Times New Roman" w:hAnsi="Tahoma" w:cs="Tahoma"/>
                <w:b/>
                <w:bCs/>
                <w:color w:val="000000"/>
                <w:sz w:val="20"/>
                <w:szCs w:val="20"/>
                <w:lang w:eastAsia="pl-PL"/>
              </w:rPr>
            </w:pPr>
            <w:r w:rsidRPr="00A45DB0">
              <w:rPr>
                <w:rFonts w:ascii="Tahoma" w:eastAsia="Times New Roman" w:hAnsi="Tahoma" w:cs="Tahoma"/>
                <w:b/>
                <w:bCs/>
                <w:color w:val="000000"/>
                <w:sz w:val="20"/>
                <w:szCs w:val="20"/>
                <w:lang w:eastAsia="pl-PL"/>
              </w:rPr>
              <w:t>2</w:t>
            </w:r>
            <w:r w:rsidR="00B918DD">
              <w:rPr>
                <w:rFonts w:ascii="Tahoma" w:eastAsia="Times New Roman" w:hAnsi="Tahoma" w:cs="Tahoma"/>
                <w:b/>
                <w:bCs/>
                <w:color w:val="000000"/>
                <w:sz w:val="20"/>
                <w:szCs w:val="20"/>
                <w:lang w:eastAsia="pl-PL"/>
              </w:rPr>
              <w:t>5</w:t>
            </w:r>
          </w:p>
        </w:tc>
      </w:tr>
    </w:tbl>
    <w:p w14:paraId="71E4C5EE" w14:textId="4549482E" w:rsidR="00187094" w:rsidRPr="00E25134" w:rsidRDefault="00187094">
      <w:pPr>
        <w:rPr>
          <w:highlight w:val="yellow"/>
          <w:lang w:eastAsia="pl-PL"/>
        </w:rPr>
      </w:pPr>
      <w:r w:rsidRPr="00E25134">
        <w:rPr>
          <w:highlight w:val="yellow"/>
          <w:lang w:eastAsia="pl-PL"/>
        </w:rPr>
        <w:br w:type="page"/>
      </w:r>
    </w:p>
    <w:p w14:paraId="024518C1" w14:textId="77777777" w:rsidR="00F100EC" w:rsidRPr="004173AB" w:rsidRDefault="00F100EC" w:rsidP="00260156">
      <w:pPr>
        <w:shd w:val="clear" w:color="auto" w:fill="FFFFFF"/>
        <w:spacing w:before="240" w:after="240" w:line="240" w:lineRule="auto"/>
        <w:outlineLvl w:val="3"/>
        <w:rPr>
          <w:rFonts w:eastAsia="Times New Roman" w:cstheme="minorHAnsi"/>
          <w:color w:val="264C80"/>
          <w:sz w:val="33"/>
          <w:szCs w:val="33"/>
          <w:lang w:eastAsia="pl-PL"/>
        </w:rPr>
      </w:pPr>
      <w:r w:rsidRPr="004173AB">
        <w:rPr>
          <w:rFonts w:eastAsia="Times New Roman" w:cstheme="minorHAnsi"/>
          <w:color w:val="264C80"/>
          <w:sz w:val="33"/>
          <w:szCs w:val="33"/>
          <w:lang w:eastAsia="pl-PL"/>
        </w:rPr>
        <w:lastRenderedPageBreak/>
        <w:t xml:space="preserve">Informacja o </w:t>
      </w:r>
      <w:r w:rsidR="00105576" w:rsidRPr="004173AB">
        <w:rPr>
          <w:rFonts w:eastAsia="Times New Roman" w:cstheme="minorHAnsi"/>
          <w:color w:val="264C80"/>
          <w:sz w:val="33"/>
          <w:szCs w:val="33"/>
          <w:lang w:eastAsia="pl-PL"/>
        </w:rPr>
        <w:t xml:space="preserve">przedziałach </w:t>
      </w:r>
      <w:r w:rsidRPr="004173AB">
        <w:rPr>
          <w:rFonts w:eastAsia="Times New Roman" w:cstheme="minorHAnsi"/>
          <w:color w:val="264C80"/>
          <w:sz w:val="33"/>
          <w:szCs w:val="33"/>
          <w:lang w:eastAsia="pl-PL"/>
        </w:rPr>
        <w:t xml:space="preserve">dla wskaźników ryzyka </w:t>
      </w:r>
    </w:p>
    <w:p w14:paraId="2FD34801" w14:textId="77777777" w:rsidR="00F100EC" w:rsidRPr="004173AB" w:rsidRDefault="00F100EC" w:rsidP="000D5A93">
      <w:pPr>
        <w:shd w:val="clear" w:color="auto" w:fill="FFFFFF"/>
        <w:spacing w:before="312" w:after="312" w:line="240" w:lineRule="auto"/>
        <w:rPr>
          <w:rFonts w:eastAsia="Times New Roman" w:cstheme="minorHAnsi"/>
          <w:iCs/>
          <w:color w:val="000000"/>
          <w:sz w:val="24"/>
          <w:szCs w:val="20"/>
          <w:lang w:eastAsia="pl-PL"/>
        </w:rPr>
      </w:pPr>
      <w:r w:rsidRPr="004173AB">
        <w:rPr>
          <w:rFonts w:eastAsia="Times New Roman" w:cstheme="minorHAnsi"/>
          <w:iCs/>
          <w:color w:val="000000"/>
          <w:sz w:val="24"/>
          <w:szCs w:val="20"/>
          <w:lang w:eastAsia="pl-PL"/>
        </w:rPr>
        <w:t xml:space="preserve">Poniższe tabele </w:t>
      </w:r>
      <w:r w:rsidR="00F81900" w:rsidRPr="004173AB">
        <w:rPr>
          <w:rFonts w:eastAsia="Times New Roman" w:cstheme="minorHAnsi"/>
          <w:iCs/>
          <w:color w:val="000000"/>
          <w:sz w:val="24"/>
          <w:szCs w:val="20"/>
          <w:lang w:eastAsia="pl-PL"/>
        </w:rPr>
        <w:t xml:space="preserve">zawierają informacje o </w:t>
      </w:r>
      <w:r w:rsidR="00105576" w:rsidRPr="004173AB">
        <w:rPr>
          <w:rFonts w:eastAsia="Times New Roman" w:cstheme="minorHAnsi"/>
          <w:iCs/>
          <w:color w:val="000000"/>
          <w:sz w:val="24"/>
          <w:szCs w:val="20"/>
          <w:lang w:eastAsia="pl-PL"/>
        </w:rPr>
        <w:t xml:space="preserve">przedziałach </w:t>
      </w:r>
      <w:r w:rsidR="000D5A93" w:rsidRPr="004173AB">
        <w:rPr>
          <w:rFonts w:eastAsia="Times New Roman" w:cstheme="minorHAnsi"/>
          <w:iCs/>
          <w:color w:val="000000"/>
          <w:sz w:val="24"/>
          <w:szCs w:val="20"/>
          <w:lang w:eastAsia="pl-PL"/>
        </w:rPr>
        <w:t>wartości wskaźników ryzyka, przypisanych im ocenach oraz liczbie instytucji w danym przedziale.</w:t>
      </w:r>
      <w:r w:rsidR="00F86AEF" w:rsidRPr="004173AB">
        <w:rPr>
          <w:rFonts w:eastAsia="Times New Roman" w:cstheme="minorHAnsi"/>
          <w:iCs/>
          <w:color w:val="000000"/>
          <w:sz w:val="24"/>
          <w:szCs w:val="20"/>
          <w:lang w:eastAsia="pl-PL"/>
        </w:rPr>
        <w:t xml:space="preserve"> </w:t>
      </w:r>
    </w:p>
    <w:p w14:paraId="577E286E" w14:textId="77777777" w:rsidR="009D7561" w:rsidRPr="004173AB" w:rsidRDefault="0053756E" w:rsidP="00244D55">
      <w:pPr>
        <w:keepNext/>
        <w:shd w:val="clear" w:color="auto" w:fill="FFFFFF"/>
        <w:spacing w:before="312" w:after="120" w:line="240" w:lineRule="auto"/>
        <w:rPr>
          <w:rFonts w:eastAsia="Times New Roman" w:cstheme="minorHAnsi"/>
          <w:b/>
          <w:iCs/>
          <w:color w:val="000000"/>
          <w:szCs w:val="20"/>
          <w:lang w:eastAsia="pl-PL"/>
        </w:rPr>
      </w:pPr>
      <w:r w:rsidRPr="004173AB">
        <w:rPr>
          <w:rFonts w:eastAsia="Times New Roman" w:cstheme="minorHAnsi"/>
          <w:b/>
          <w:iCs/>
          <w:color w:val="000000"/>
          <w:szCs w:val="20"/>
          <w:lang w:eastAsia="pl-PL"/>
        </w:rPr>
        <w:t>Wskaźnik dźwigni</w:t>
      </w:r>
    </w:p>
    <w:p w14:paraId="695A0485" w14:textId="77777777" w:rsidR="00F57746" w:rsidRDefault="00F57746">
      <w:pPr>
        <w:rPr>
          <w:rFonts w:cstheme="minorHAnsi"/>
          <w:highlight w:val="yellow"/>
        </w:rPr>
      </w:pPr>
    </w:p>
    <w:tbl>
      <w:tblPr>
        <w:tblW w:w="12468" w:type="dxa"/>
        <w:tblCellMar>
          <w:left w:w="70" w:type="dxa"/>
          <w:right w:w="70" w:type="dxa"/>
        </w:tblCellMar>
        <w:tblLook w:val="04A0" w:firstRow="1" w:lastRow="0" w:firstColumn="1" w:lastColumn="0" w:noHBand="0" w:noVBand="1"/>
      </w:tblPr>
      <w:tblGrid>
        <w:gridCol w:w="2308"/>
        <w:gridCol w:w="3636"/>
        <w:gridCol w:w="3036"/>
        <w:gridCol w:w="3488"/>
      </w:tblGrid>
      <w:tr w:rsidR="00A45DB0" w:rsidRPr="00A45DB0" w14:paraId="4C81B361" w14:textId="77777777" w:rsidTr="00A45DB0">
        <w:trPr>
          <w:trHeight w:val="255"/>
        </w:trPr>
        <w:tc>
          <w:tcPr>
            <w:tcW w:w="2308" w:type="dxa"/>
            <w:tcBorders>
              <w:top w:val="single" w:sz="4" w:space="0" w:color="95B3D7"/>
              <w:left w:val="single" w:sz="4" w:space="0" w:color="95B3D7"/>
              <w:bottom w:val="single" w:sz="4" w:space="0" w:color="95B3D7"/>
              <w:right w:val="nil"/>
            </w:tcBorders>
            <w:shd w:val="clear" w:color="4F81BD" w:fill="4F81BD"/>
            <w:noWrap/>
            <w:vAlign w:val="center"/>
            <w:hideMark/>
          </w:tcPr>
          <w:p w14:paraId="2C45947D" w14:textId="77777777" w:rsidR="00A45DB0" w:rsidRPr="00A45DB0" w:rsidRDefault="00A45DB0" w:rsidP="00A45DB0">
            <w:pPr>
              <w:spacing w:after="0" w:line="240" w:lineRule="auto"/>
              <w:jc w:val="center"/>
              <w:rPr>
                <w:rFonts w:ascii="Tahoma" w:eastAsia="Times New Roman" w:hAnsi="Tahoma" w:cs="Tahoma"/>
                <w:b/>
                <w:bCs/>
                <w:color w:val="FFFFFF"/>
                <w:sz w:val="20"/>
                <w:szCs w:val="20"/>
                <w:lang w:eastAsia="pl-PL"/>
              </w:rPr>
            </w:pPr>
            <w:r w:rsidRPr="00A45DB0">
              <w:rPr>
                <w:rFonts w:ascii="Tahoma" w:eastAsia="Times New Roman" w:hAnsi="Tahoma" w:cs="Tahoma"/>
                <w:b/>
                <w:bCs/>
                <w:color w:val="FFFFFF"/>
                <w:sz w:val="20"/>
                <w:szCs w:val="20"/>
                <w:lang w:eastAsia="pl-PL"/>
              </w:rPr>
              <w:t>Numer przedziału</w:t>
            </w:r>
          </w:p>
        </w:tc>
        <w:tc>
          <w:tcPr>
            <w:tcW w:w="3636" w:type="dxa"/>
            <w:tcBorders>
              <w:top w:val="single" w:sz="4" w:space="0" w:color="95B3D7"/>
              <w:left w:val="nil"/>
              <w:bottom w:val="single" w:sz="4" w:space="0" w:color="95B3D7"/>
              <w:right w:val="nil"/>
            </w:tcBorders>
            <w:shd w:val="clear" w:color="4F81BD" w:fill="4F81BD"/>
            <w:noWrap/>
            <w:vAlign w:val="center"/>
            <w:hideMark/>
          </w:tcPr>
          <w:p w14:paraId="045E5CC6" w14:textId="77777777" w:rsidR="00A45DB0" w:rsidRPr="00A45DB0" w:rsidRDefault="00A45DB0" w:rsidP="00A45DB0">
            <w:pPr>
              <w:spacing w:after="0" w:line="240" w:lineRule="auto"/>
              <w:jc w:val="center"/>
              <w:rPr>
                <w:rFonts w:ascii="Tahoma" w:eastAsia="Times New Roman" w:hAnsi="Tahoma" w:cs="Tahoma"/>
                <w:b/>
                <w:bCs/>
                <w:color w:val="FFFFFF"/>
                <w:sz w:val="20"/>
                <w:szCs w:val="20"/>
                <w:lang w:eastAsia="pl-PL"/>
              </w:rPr>
            </w:pPr>
            <w:r w:rsidRPr="00A45DB0">
              <w:rPr>
                <w:rFonts w:ascii="Tahoma" w:eastAsia="Times New Roman" w:hAnsi="Tahoma" w:cs="Tahoma"/>
                <w:b/>
                <w:bCs/>
                <w:color w:val="FFFFFF"/>
                <w:sz w:val="20"/>
                <w:szCs w:val="20"/>
                <w:lang w:eastAsia="pl-PL"/>
              </w:rPr>
              <w:t>Przedziały wartości wskaźnika</w:t>
            </w:r>
          </w:p>
        </w:tc>
        <w:tc>
          <w:tcPr>
            <w:tcW w:w="3036" w:type="dxa"/>
            <w:tcBorders>
              <w:top w:val="single" w:sz="4" w:space="0" w:color="95B3D7"/>
              <w:left w:val="nil"/>
              <w:bottom w:val="single" w:sz="4" w:space="0" w:color="95B3D7"/>
              <w:right w:val="nil"/>
            </w:tcBorders>
            <w:shd w:val="clear" w:color="4F81BD" w:fill="4F81BD"/>
            <w:noWrap/>
            <w:vAlign w:val="center"/>
            <w:hideMark/>
          </w:tcPr>
          <w:p w14:paraId="3319D7D8" w14:textId="77777777" w:rsidR="00A45DB0" w:rsidRPr="00A45DB0" w:rsidRDefault="00A45DB0" w:rsidP="00A45DB0">
            <w:pPr>
              <w:spacing w:after="0" w:line="240" w:lineRule="auto"/>
              <w:jc w:val="center"/>
              <w:rPr>
                <w:rFonts w:ascii="Tahoma" w:eastAsia="Times New Roman" w:hAnsi="Tahoma" w:cs="Tahoma"/>
                <w:b/>
                <w:bCs/>
                <w:color w:val="FFFFFF"/>
                <w:sz w:val="20"/>
                <w:szCs w:val="20"/>
                <w:lang w:eastAsia="pl-PL"/>
              </w:rPr>
            </w:pPr>
            <w:r w:rsidRPr="00A45DB0">
              <w:rPr>
                <w:rFonts w:ascii="Tahoma" w:eastAsia="Times New Roman" w:hAnsi="Tahoma" w:cs="Tahoma"/>
                <w:b/>
                <w:bCs/>
                <w:color w:val="FFFFFF"/>
                <w:sz w:val="20"/>
                <w:szCs w:val="20"/>
                <w:lang w:eastAsia="pl-PL"/>
              </w:rPr>
              <w:t>Ocena ryzyka przedziału</w:t>
            </w:r>
          </w:p>
        </w:tc>
        <w:tc>
          <w:tcPr>
            <w:tcW w:w="3488" w:type="dxa"/>
            <w:tcBorders>
              <w:top w:val="single" w:sz="4" w:space="0" w:color="95B3D7"/>
              <w:left w:val="nil"/>
              <w:bottom w:val="single" w:sz="4" w:space="0" w:color="95B3D7"/>
              <w:right w:val="single" w:sz="4" w:space="0" w:color="95B3D7"/>
            </w:tcBorders>
            <w:shd w:val="clear" w:color="4F81BD" w:fill="4F81BD"/>
            <w:noWrap/>
            <w:vAlign w:val="center"/>
            <w:hideMark/>
          </w:tcPr>
          <w:p w14:paraId="017A50FD" w14:textId="77777777" w:rsidR="00A45DB0" w:rsidRPr="00A45DB0" w:rsidRDefault="00A45DB0" w:rsidP="00A45DB0">
            <w:pPr>
              <w:spacing w:after="0" w:line="240" w:lineRule="auto"/>
              <w:jc w:val="center"/>
              <w:rPr>
                <w:rFonts w:ascii="Tahoma" w:eastAsia="Times New Roman" w:hAnsi="Tahoma" w:cs="Tahoma"/>
                <w:b/>
                <w:bCs/>
                <w:color w:val="FFFFFF"/>
                <w:sz w:val="20"/>
                <w:szCs w:val="20"/>
                <w:lang w:eastAsia="pl-PL"/>
              </w:rPr>
            </w:pPr>
            <w:r w:rsidRPr="00A45DB0">
              <w:rPr>
                <w:rFonts w:ascii="Tahoma" w:eastAsia="Times New Roman" w:hAnsi="Tahoma" w:cs="Tahoma"/>
                <w:b/>
                <w:bCs/>
                <w:color w:val="FFFFFF"/>
                <w:sz w:val="20"/>
                <w:szCs w:val="20"/>
                <w:lang w:eastAsia="pl-PL"/>
              </w:rPr>
              <w:t>Liczba instytucji w przedziale</w:t>
            </w:r>
          </w:p>
        </w:tc>
      </w:tr>
      <w:tr w:rsidR="00B918DD" w:rsidRPr="00A45DB0" w14:paraId="01990533" w14:textId="77777777" w:rsidTr="00985721">
        <w:trPr>
          <w:trHeight w:val="255"/>
        </w:trPr>
        <w:tc>
          <w:tcPr>
            <w:tcW w:w="2308" w:type="dxa"/>
            <w:tcBorders>
              <w:top w:val="single" w:sz="4" w:space="0" w:color="95B3D7"/>
              <w:left w:val="single" w:sz="4" w:space="0" w:color="95B3D7"/>
              <w:bottom w:val="single" w:sz="4" w:space="0" w:color="95B3D7"/>
              <w:right w:val="nil"/>
            </w:tcBorders>
            <w:shd w:val="clear" w:color="DCE6F1" w:fill="DCE6F1"/>
            <w:noWrap/>
            <w:vAlign w:val="center"/>
            <w:hideMark/>
          </w:tcPr>
          <w:p w14:paraId="26CB764B" w14:textId="77777777" w:rsidR="00B918DD" w:rsidRPr="00A45DB0" w:rsidRDefault="00B918DD" w:rsidP="00B918DD">
            <w:pPr>
              <w:spacing w:after="0" w:line="240" w:lineRule="auto"/>
              <w:jc w:val="center"/>
              <w:rPr>
                <w:rFonts w:ascii="Tahoma" w:eastAsia="Times New Roman" w:hAnsi="Tahoma" w:cs="Tahoma"/>
                <w:color w:val="000000"/>
                <w:sz w:val="20"/>
                <w:szCs w:val="20"/>
                <w:lang w:eastAsia="pl-PL"/>
              </w:rPr>
            </w:pPr>
            <w:r w:rsidRPr="00A45DB0">
              <w:rPr>
                <w:rFonts w:ascii="Tahoma" w:eastAsia="Times New Roman" w:hAnsi="Tahoma" w:cs="Tahoma"/>
                <w:color w:val="000000"/>
                <w:sz w:val="20"/>
                <w:szCs w:val="20"/>
                <w:lang w:eastAsia="pl-PL"/>
              </w:rPr>
              <w:t>1</w:t>
            </w:r>
          </w:p>
        </w:tc>
        <w:tc>
          <w:tcPr>
            <w:tcW w:w="3636" w:type="dxa"/>
            <w:tcBorders>
              <w:top w:val="single" w:sz="4" w:space="0" w:color="95B3D7"/>
              <w:left w:val="nil"/>
              <w:bottom w:val="single" w:sz="4" w:space="0" w:color="95B3D7"/>
              <w:right w:val="nil"/>
            </w:tcBorders>
            <w:shd w:val="clear" w:color="DCE6F1" w:fill="DCE6F1"/>
            <w:noWrap/>
            <w:hideMark/>
          </w:tcPr>
          <w:p w14:paraId="6685E952" w14:textId="5E965A19" w:rsidR="00B918DD" w:rsidRPr="00A45DB0" w:rsidRDefault="00B918DD" w:rsidP="00B918DD">
            <w:pPr>
              <w:spacing w:after="0" w:line="240" w:lineRule="auto"/>
              <w:jc w:val="center"/>
              <w:rPr>
                <w:rFonts w:ascii="Tahoma" w:eastAsia="Times New Roman" w:hAnsi="Tahoma" w:cs="Tahoma"/>
                <w:color w:val="000000"/>
                <w:sz w:val="20"/>
                <w:szCs w:val="20"/>
                <w:lang w:eastAsia="pl-PL"/>
              </w:rPr>
            </w:pPr>
            <w:r w:rsidRPr="00AA3FF4">
              <w:t xml:space="preserve"> — 5,1%</w:t>
            </w:r>
          </w:p>
        </w:tc>
        <w:tc>
          <w:tcPr>
            <w:tcW w:w="3036" w:type="dxa"/>
            <w:tcBorders>
              <w:top w:val="single" w:sz="4" w:space="0" w:color="95B3D7"/>
              <w:left w:val="nil"/>
              <w:bottom w:val="single" w:sz="4" w:space="0" w:color="95B3D7"/>
              <w:right w:val="nil"/>
            </w:tcBorders>
            <w:shd w:val="clear" w:color="DCE6F1" w:fill="DCE6F1"/>
            <w:noWrap/>
            <w:hideMark/>
          </w:tcPr>
          <w:p w14:paraId="3A54D2F8" w14:textId="52686458" w:rsidR="00B918DD" w:rsidRPr="00A45DB0" w:rsidRDefault="00B918DD" w:rsidP="00B918DD">
            <w:pPr>
              <w:spacing w:after="0" w:line="240" w:lineRule="auto"/>
              <w:jc w:val="center"/>
              <w:rPr>
                <w:rFonts w:ascii="Tahoma" w:eastAsia="Times New Roman" w:hAnsi="Tahoma" w:cs="Tahoma"/>
                <w:color w:val="000000"/>
                <w:sz w:val="20"/>
                <w:szCs w:val="20"/>
                <w:lang w:eastAsia="pl-PL"/>
              </w:rPr>
            </w:pPr>
            <w:r w:rsidRPr="00AA3FF4">
              <w:t>1</w:t>
            </w:r>
          </w:p>
        </w:tc>
        <w:tc>
          <w:tcPr>
            <w:tcW w:w="3488" w:type="dxa"/>
            <w:tcBorders>
              <w:top w:val="single" w:sz="4" w:space="0" w:color="95B3D7"/>
              <w:left w:val="nil"/>
              <w:bottom w:val="single" w:sz="4" w:space="0" w:color="95B3D7"/>
              <w:right w:val="single" w:sz="4" w:space="0" w:color="95B3D7"/>
            </w:tcBorders>
            <w:shd w:val="clear" w:color="DCE6F1" w:fill="DCE6F1"/>
            <w:noWrap/>
            <w:hideMark/>
          </w:tcPr>
          <w:p w14:paraId="632E4850" w14:textId="338DB6B1" w:rsidR="00B918DD" w:rsidRPr="00A45DB0" w:rsidRDefault="00B918DD" w:rsidP="00B918DD">
            <w:pPr>
              <w:spacing w:after="0" w:line="240" w:lineRule="auto"/>
              <w:jc w:val="center"/>
              <w:rPr>
                <w:rFonts w:ascii="Tahoma" w:eastAsia="Times New Roman" w:hAnsi="Tahoma" w:cs="Tahoma"/>
                <w:color w:val="000000"/>
                <w:sz w:val="20"/>
                <w:szCs w:val="20"/>
                <w:lang w:eastAsia="pl-PL"/>
              </w:rPr>
            </w:pPr>
            <w:r w:rsidRPr="00AA3FF4">
              <w:t>4</w:t>
            </w:r>
          </w:p>
        </w:tc>
      </w:tr>
      <w:tr w:rsidR="00B918DD" w:rsidRPr="00A45DB0" w14:paraId="44D9B225" w14:textId="77777777" w:rsidTr="00985721">
        <w:trPr>
          <w:trHeight w:val="255"/>
        </w:trPr>
        <w:tc>
          <w:tcPr>
            <w:tcW w:w="2308" w:type="dxa"/>
            <w:tcBorders>
              <w:top w:val="single" w:sz="4" w:space="0" w:color="95B3D7"/>
              <w:left w:val="single" w:sz="4" w:space="0" w:color="95B3D7"/>
              <w:bottom w:val="single" w:sz="4" w:space="0" w:color="95B3D7"/>
              <w:right w:val="nil"/>
            </w:tcBorders>
            <w:noWrap/>
            <w:vAlign w:val="center"/>
            <w:hideMark/>
          </w:tcPr>
          <w:p w14:paraId="66692AB9" w14:textId="77777777" w:rsidR="00B918DD" w:rsidRPr="00A45DB0" w:rsidRDefault="00B918DD" w:rsidP="00B918DD">
            <w:pPr>
              <w:spacing w:after="0" w:line="240" w:lineRule="auto"/>
              <w:jc w:val="center"/>
              <w:rPr>
                <w:rFonts w:ascii="Tahoma" w:eastAsia="Times New Roman" w:hAnsi="Tahoma" w:cs="Tahoma"/>
                <w:color w:val="000000"/>
                <w:sz w:val="20"/>
                <w:szCs w:val="20"/>
                <w:lang w:eastAsia="pl-PL"/>
              </w:rPr>
            </w:pPr>
            <w:r w:rsidRPr="00A45DB0">
              <w:rPr>
                <w:rFonts w:ascii="Tahoma" w:eastAsia="Times New Roman" w:hAnsi="Tahoma" w:cs="Tahoma"/>
                <w:color w:val="000000"/>
                <w:sz w:val="20"/>
                <w:szCs w:val="20"/>
                <w:lang w:eastAsia="pl-PL"/>
              </w:rPr>
              <w:t>2</w:t>
            </w:r>
          </w:p>
        </w:tc>
        <w:tc>
          <w:tcPr>
            <w:tcW w:w="3636" w:type="dxa"/>
            <w:tcBorders>
              <w:top w:val="single" w:sz="4" w:space="0" w:color="95B3D7"/>
              <w:left w:val="nil"/>
              <w:bottom w:val="single" w:sz="4" w:space="0" w:color="95B3D7"/>
              <w:right w:val="nil"/>
            </w:tcBorders>
            <w:noWrap/>
            <w:hideMark/>
          </w:tcPr>
          <w:p w14:paraId="6B98FA0F" w14:textId="3096070A" w:rsidR="00B918DD" w:rsidRPr="00A45DB0" w:rsidRDefault="00B918DD" w:rsidP="00B918DD">
            <w:pPr>
              <w:spacing w:after="0" w:line="240" w:lineRule="auto"/>
              <w:jc w:val="center"/>
              <w:rPr>
                <w:rFonts w:ascii="Tahoma" w:eastAsia="Times New Roman" w:hAnsi="Tahoma" w:cs="Tahoma"/>
                <w:color w:val="000000"/>
                <w:sz w:val="20"/>
                <w:szCs w:val="20"/>
                <w:lang w:eastAsia="pl-PL"/>
              </w:rPr>
            </w:pPr>
            <w:r w:rsidRPr="00AA3FF4">
              <w:t>5,1% — 6,8%</w:t>
            </w:r>
          </w:p>
        </w:tc>
        <w:tc>
          <w:tcPr>
            <w:tcW w:w="3036" w:type="dxa"/>
            <w:tcBorders>
              <w:top w:val="single" w:sz="4" w:space="0" w:color="95B3D7"/>
              <w:left w:val="nil"/>
              <w:bottom w:val="single" w:sz="4" w:space="0" w:color="95B3D7"/>
              <w:right w:val="nil"/>
            </w:tcBorders>
            <w:noWrap/>
            <w:hideMark/>
          </w:tcPr>
          <w:p w14:paraId="66BE0A9B" w14:textId="332B6000" w:rsidR="00B918DD" w:rsidRPr="00A45DB0" w:rsidRDefault="00B918DD" w:rsidP="00B918DD">
            <w:pPr>
              <w:spacing w:after="0" w:line="240" w:lineRule="auto"/>
              <w:jc w:val="center"/>
              <w:rPr>
                <w:rFonts w:ascii="Tahoma" w:eastAsia="Times New Roman" w:hAnsi="Tahoma" w:cs="Tahoma"/>
                <w:color w:val="000000"/>
                <w:sz w:val="20"/>
                <w:szCs w:val="20"/>
                <w:lang w:eastAsia="pl-PL"/>
              </w:rPr>
            </w:pPr>
            <w:r w:rsidRPr="00AA3FF4">
              <w:t>143,714</w:t>
            </w:r>
          </w:p>
        </w:tc>
        <w:tc>
          <w:tcPr>
            <w:tcW w:w="3488" w:type="dxa"/>
            <w:tcBorders>
              <w:top w:val="single" w:sz="4" w:space="0" w:color="95B3D7"/>
              <w:left w:val="nil"/>
              <w:bottom w:val="single" w:sz="4" w:space="0" w:color="95B3D7"/>
              <w:right w:val="single" w:sz="4" w:space="0" w:color="95B3D7"/>
            </w:tcBorders>
            <w:noWrap/>
            <w:hideMark/>
          </w:tcPr>
          <w:p w14:paraId="23A9D193" w14:textId="27F9B5EE" w:rsidR="00B918DD" w:rsidRPr="00A45DB0" w:rsidRDefault="00B918DD" w:rsidP="00B918DD">
            <w:pPr>
              <w:spacing w:after="0" w:line="240" w:lineRule="auto"/>
              <w:jc w:val="center"/>
              <w:rPr>
                <w:rFonts w:ascii="Tahoma" w:eastAsia="Times New Roman" w:hAnsi="Tahoma" w:cs="Tahoma"/>
                <w:color w:val="000000"/>
                <w:sz w:val="20"/>
                <w:szCs w:val="20"/>
                <w:lang w:eastAsia="pl-PL"/>
              </w:rPr>
            </w:pPr>
            <w:r w:rsidRPr="00AA3FF4">
              <w:t>3</w:t>
            </w:r>
          </w:p>
        </w:tc>
      </w:tr>
      <w:tr w:rsidR="00B918DD" w:rsidRPr="00A45DB0" w14:paraId="495A3E45" w14:textId="77777777" w:rsidTr="00985721">
        <w:trPr>
          <w:trHeight w:val="255"/>
        </w:trPr>
        <w:tc>
          <w:tcPr>
            <w:tcW w:w="2308" w:type="dxa"/>
            <w:tcBorders>
              <w:top w:val="single" w:sz="4" w:space="0" w:color="95B3D7"/>
              <w:left w:val="single" w:sz="4" w:space="0" w:color="95B3D7"/>
              <w:bottom w:val="single" w:sz="4" w:space="0" w:color="95B3D7"/>
              <w:right w:val="nil"/>
            </w:tcBorders>
            <w:shd w:val="clear" w:color="DCE6F1" w:fill="DCE6F1"/>
            <w:noWrap/>
            <w:vAlign w:val="center"/>
            <w:hideMark/>
          </w:tcPr>
          <w:p w14:paraId="6E9402B1" w14:textId="77777777" w:rsidR="00B918DD" w:rsidRPr="00A45DB0" w:rsidRDefault="00B918DD" w:rsidP="00B918DD">
            <w:pPr>
              <w:spacing w:after="0" w:line="240" w:lineRule="auto"/>
              <w:jc w:val="center"/>
              <w:rPr>
                <w:rFonts w:ascii="Tahoma" w:eastAsia="Times New Roman" w:hAnsi="Tahoma" w:cs="Tahoma"/>
                <w:color w:val="000000"/>
                <w:sz w:val="20"/>
                <w:szCs w:val="20"/>
                <w:lang w:eastAsia="pl-PL"/>
              </w:rPr>
            </w:pPr>
            <w:r w:rsidRPr="00A45DB0">
              <w:rPr>
                <w:rFonts w:ascii="Tahoma" w:eastAsia="Times New Roman" w:hAnsi="Tahoma" w:cs="Tahoma"/>
                <w:color w:val="000000"/>
                <w:sz w:val="20"/>
                <w:szCs w:val="20"/>
                <w:lang w:eastAsia="pl-PL"/>
              </w:rPr>
              <w:t>3</w:t>
            </w:r>
          </w:p>
        </w:tc>
        <w:tc>
          <w:tcPr>
            <w:tcW w:w="3636" w:type="dxa"/>
            <w:tcBorders>
              <w:top w:val="single" w:sz="4" w:space="0" w:color="95B3D7"/>
              <w:left w:val="nil"/>
              <w:bottom w:val="single" w:sz="4" w:space="0" w:color="95B3D7"/>
              <w:right w:val="nil"/>
            </w:tcBorders>
            <w:shd w:val="clear" w:color="DCE6F1" w:fill="DCE6F1"/>
            <w:noWrap/>
            <w:hideMark/>
          </w:tcPr>
          <w:p w14:paraId="3F38248E" w14:textId="737FC080" w:rsidR="00B918DD" w:rsidRPr="00A45DB0" w:rsidRDefault="00B918DD" w:rsidP="00B918DD">
            <w:pPr>
              <w:spacing w:after="0" w:line="240" w:lineRule="auto"/>
              <w:jc w:val="center"/>
              <w:rPr>
                <w:rFonts w:ascii="Tahoma" w:eastAsia="Times New Roman" w:hAnsi="Tahoma" w:cs="Tahoma"/>
                <w:color w:val="000000"/>
                <w:sz w:val="20"/>
                <w:szCs w:val="20"/>
                <w:lang w:eastAsia="pl-PL"/>
              </w:rPr>
            </w:pPr>
            <w:r w:rsidRPr="00AA3FF4">
              <w:t>6,8% — 6,9%</w:t>
            </w:r>
          </w:p>
        </w:tc>
        <w:tc>
          <w:tcPr>
            <w:tcW w:w="3036" w:type="dxa"/>
            <w:tcBorders>
              <w:top w:val="single" w:sz="4" w:space="0" w:color="95B3D7"/>
              <w:left w:val="nil"/>
              <w:bottom w:val="single" w:sz="4" w:space="0" w:color="95B3D7"/>
              <w:right w:val="nil"/>
            </w:tcBorders>
            <w:shd w:val="clear" w:color="DCE6F1" w:fill="DCE6F1"/>
            <w:noWrap/>
            <w:hideMark/>
          </w:tcPr>
          <w:p w14:paraId="67DF36EC" w14:textId="7D191CCB" w:rsidR="00B918DD" w:rsidRPr="00A45DB0" w:rsidRDefault="00B918DD" w:rsidP="00B918DD">
            <w:pPr>
              <w:spacing w:after="0" w:line="240" w:lineRule="auto"/>
              <w:jc w:val="center"/>
              <w:rPr>
                <w:rFonts w:ascii="Tahoma" w:eastAsia="Times New Roman" w:hAnsi="Tahoma" w:cs="Tahoma"/>
                <w:color w:val="000000"/>
                <w:sz w:val="20"/>
                <w:szCs w:val="20"/>
                <w:lang w:eastAsia="pl-PL"/>
              </w:rPr>
            </w:pPr>
            <w:r w:rsidRPr="00AA3FF4">
              <w:t>286,429</w:t>
            </w:r>
          </w:p>
        </w:tc>
        <w:tc>
          <w:tcPr>
            <w:tcW w:w="3488" w:type="dxa"/>
            <w:tcBorders>
              <w:top w:val="single" w:sz="4" w:space="0" w:color="95B3D7"/>
              <w:left w:val="nil"/>
              <w:bottom w:val="single" w:sz="4" w:space="0" w:color="95B3D7"/>
              <w:right w:val="single" w:sz="4" w:space="0" w:color="95B3D7"/>
            </w:tcBorders>
            <w:shd w:val="clear" w:color="DCE6F1" w:fill="DCE6F1"/>
            <w:noWrap/>
            <w:hideMark/>
          </w:tcPr>
          <w:p w14:paraId="794AE5AE" w14:textId="0F08DBF6" w:rsidR="00B918DD" w:rsidRPr="00A45DB0" w:rsidRDefault="00B918DD" w:rsidP="00B918DD">
            <w:pPr>
              <w:spacing w:after="0" w:line="240" w:lineRule="auto"/>
              <w:jc w:val="center"/>
              <w:rPr>
                <w:rFonts w:ascii="Tahoma" w:eastAsia="Times New Roman" w:hAnsi="Tahoma" w:cs="Tahoma"/>
                <w:color w:val="000000"/>
                <w:sz w:val="20"/>
                <w:szCs w:val="20"/>
                <w:lang w:eastAsia="pl-PL"/>
              </w:rPr>
            </w:pPr>
            <w:r w:rsidRPr="00AA3FF4">
              <w:t>3</w:t>
            </w:r>
          </w:p>
        </w:tc>
      </w:tr>
      <w:tr w:rsidR="00B918DD" w:rsidRPr="00A45DB0" w14:paraId="50168C2D" w14:textId="77777777" w:rsidTr="00985721">
        <w:trPr>
          <w:trHeight w:val="255"/>
        </w:trPr>
        <w:tc>
          <w:tcPr>
            <w:tcW w:w="2308" w:type="dxa"/>
            <w:tcBorders>
              <w:top w:val="single" w:sz="4" w:space="0" w:color="95B3D7"/>
              <w:left w:val="single" w:sz="4" w:space="0" w:color="95B3D7"/>
              <w:bottom w:val="single" w:sz="4" w:space="0" w:color="95B3D7"/>
              <w:right w:val="nil"/>
            </w:tcBorders>
            <w:noWrap/>
            <w:vAlign w:val="center"/>
            <w:hideMark/>
          </w:tcPr>
          <w:p w14:paraId="2613B2DC" w14:textId="77777777" w:rsidR="00B918DD" w:rsidRPr="00A45DB0" w:rsidRDefault="00B918DD" w:rsidP="00B918DD">
            <w:pPr>
              <w:spacing w:after="0" w:line="240" w:lineRule="auto"/>
              <w:jc w:val="center"/>
              <w:rPr>
                <w:rFonts w:ascii="Tahoma" w:eastAsia="Times New Roman" w:hAnsi="Tahoma" w:cs="Tahoma"/>
                <w:color w:val="000000"/>
                <w:sz w:val="20"/>
                <w:szCs w:val="20"/>
                <w:lang w:eastAsia="pl-PL"/>
              </w:rPr>
            </w:pPr>
            <w:r w:rsidRPr="00A45DB0">
              <w:rPr>
                <w:rFonts w:ascii="Tahoma" w:eastAsia="Times New Roman" w:hAnsi="Tahoma" w:cs="Tahoma"/>
                <w:color w:val="000000"/>
                <w:sz w:val="20"/>
                <w:szCs w:val="20"/>
                <w:lang w:eastAsia="pl-PL"/>
              </w:rPr>
              <w:t>4</w:t>
            </w:r>
          </w:p>
        </w:tc>
        <w:tc>
          <w:tcPr>
            <w:tcW w:w="3636" w:type="dxa"/>
            <w:tcBorders>
              <w:top w:val="single" w:sz="4" w:space="0" w:color="95B3D7"/>
              <w:left w:val="nil"/>
              <w:bottom w:val="single" w:sz="4" w:space="0" w:color="95B3D7"/>
              <w:right w:val="nil"/>
            </w:tcBorders>
            <w:noWrap/>
            <w:hideMark/>
          </w:tcPr>
          <w:p w14:paraId="5CC17AEF" w14:textId="14009558" w:rsidR="00B918DD" w:rsidRPr="00A45DB0" w:rsidRDefault="00B918DD" w:rsidP="00B918DD">
            <w:pPr>
              <w:spacing w:after="0" w:line="240" w:lineRule="auto"/>
              <w:jc w:val="center"/>
              <w:rPr>
                <w:rFonts w:ascii="Tahoma" w:eastAsia="Times New Roman" w:hAnsi="Tahoma" w:cs="Tahoma"/>
                <w:color w:val="000000"/>
                <w:sz w:val="20"/>
                <w:szCs w:val="20"/>
                <w:lang w:eastAsia="pl-PL"/>
              </w:rPr>
            </w:pPr>
            <w:r w:rsidRPr="00AA3FF4">
              <w:t>6,9% — 7,5%</w:t>
            </w:r>
          </w:p>
        </w:tc>
        <w:tc>
          <w:tcPr>
            <w:tcW w:w="3036" w:type="dxa"/>
            <w:tcBorders>
              <w:top w:val="single" w:sz="4" w:space="0" w:color="95B3D7"/>
              <w:left w:val="nil"/>
              <w:bottom w:val="single" w:sz="4" w:space="0" w:color="95B3D7"/>
              <w:right w:val="nil"/>
            </w:tcBorders>
            <w:noWrap/>
            <w:hideMark/>
          </w:tcPr>
          <w:p w14:paraId="05961AF0" w14:textId="179C4760" w:rsidR="00B918DD" w:rsidRPr="00A45DB0" w:rsidRDefault="00B918DD" w:rsidP="00B918DD">
            <w:pPr>
              <w:spacing w:after="0" w:line="240" w:lineRule="auto"/>
              <w:jc w:val="center"/>
              <w:rPr>
                <w:rFonts w:ascii="Tahoma" w:eastAsia="Times New Roman" w:hAnsi="Tahoma" w:cs="Tahoma"/>
                <w:color w:val="000000"/>
                <w:sz w:val="20"/>
                <w:szCs w:val="20"/>
                <w:lang w:eastAsia="pl-PL"/>
              </w:rPr>
            </w:pPr>
            <w:r w:rsidRPr="00AA3FF4">
              <w:t>429,143</w:t>
            </w:r>
          </w:p>
        </w:tc>
        <w:tc>
          <w:tcPr>
            <w:tcW w:w="3488" w:type="dxa"/>
            <w:tcBorders>
              <w:top w:val="single" w:sz="4" w:space="0" w:color="95B3D7"/>
              <w:left w:val="nil"/>
              <w:bottom w:val="single" w:sz="4" w:space="0" w:color="95B3D7"/>
              <w:right w:val="single" w:sz="4" w:space="0" w:color="95B3D7"/>
            </w:tcBorders>
            <w:noWrap/>
            <w:hideMark/>
          </w:tcPr>
          <w:p w14:paraId="6A94232E" w14:textId="5D737E6F" w:rsidR="00B918DD" w:rsidRPr="00A45DB0" w:rsidRDefault="00B918DD" w:rsidP="00B918DD">
            <w:pPr>
              <w:spacing w:after="0" w:line="240" w:lineRule="auto"/>
              <w:jc w:val="center"/>
              <w:rPr>
                <w:rFonts w:ascii="Tahoma" w:eastAsia="Times New Roman" w:hAnsi="Tahoma" w:cs="Tahoma"/>
                <w:color w:val="000000"/>
                <w:sz w:val="20"/>
                <w:szCs w:val="20"/>
                <w:lang w:eastAsia="pl-PL"/>
              </w:rPr>
            </w:pPr>
            <w:r w:rsidRPr="00AA3FF4">
              <w:t>3</w:t>
            </w:r>
          </w:p>
        </w:tc>
      </w:tr>
      <w:tr w:rsidR="00B918DD" w:rsidRPr="00A45DB0" w14:paraId="1BF3424A" w14:textId="77777777" w:rsidTr="00985721">
        <w:trPr>
          <w:trHeight w:val="255"/>
        </w:trPr>
        <w:tc>
          <w:tcPr>
            <w:tcW w:w="2308" w:type="dxa"/>
            <w:tcBorders>
              <w:top w:val="single" w:sz="4" w:space="0" w:color="95B3D7"/>
              <w:left w:val="single" w:sz="4" w:space="0" w:color="95B3D7"/>
              <w:bottom w:val="single" w:sz="4" w:space="0" w:color="95B3D7"/>
              <w:right w:val="nil"/>
            </w:tcBorders>
            <w:shd w:val="clear" w:color="DCE6F1" w:fill="DCE6F1"/>
            <w:noWrap/>
            <w:vAlign w:val="center"/>
            <w:hideMark/>
          </w:tcPr>
          <w:p w14:paraId="0C0C8CD7" w14:textId="77777777" w:rsidR="00B918DD" w:rsidRPr="00A45DB0" w:rsidRDefault="00B918DD" w:rsidP="00B918DD">
            <w:pPr>
              <w:spacing w:after="0" w:line="240" w:lineRule="auto"/>
              <w:jc w:val="center"/>
              <w:rPr>
                <w:rFonts w:ascii="Tahoma" w:eastAsia="Times New Roman" w:hAnsi="Tahoma" w:cs="Tahoma"/>
                <w:color w:val="000000"/>
                <w:sz w:val="20"/>
                <w:szCs w:val="20"/>
                <w:lang w:eastAsia="pl-PL"/>
              </w:rPr>
            </w:pPr>
            <w:r w:rsidRPr="00A45DB0">
              <w:rPr>
                <w:rFonts w:ascii="Tahoma" w:eastAsia="Times New Roman" w:hAnsi="Tahoma" w:cs="Tahoma"/>
                <w:color w:val="000000"/>
                <w:sz w:val="20"/>
                <w:szCs w:val="20"/>
                <w:lang w:eastAsia="pl-PL"/>
              </w:rPr>
              <w:t>5</w:t>
            </w:r>
          </w:p>
        </w:tc>
        <w:tc>
          <w:tcPr>
            <w:tcW w:w="3636" w:type="dxa"/>
            <w:tcBorders>
              <w:top w:val="single" w:sz="4" w:space="0" w:color="95B3D7"/>
              <w:left w:val="nil"/>
              <w:bottom w:val="single" w:sz="4" w:space="0" w:color="95B3D7"/>
              <w:right w:val="nil"/>
            </w:tcBorders>
            <w:shd w:val="clear" w:color="DCE6F1" w:fill="DCE6F1"/>
            <w:noWrap/>
            <w:hideMark/>
          </w:tcPr>
          <w:p w14:paraId="5883DC8F" w14:textId="7C4F46A2" w:rsidR="00B918DD" w:rsidRPr="00A45DB0" w:rsidRDefault="00B918DD" w:rsidP="00B918DD">
            <w:pPr>
              <w:spacing w:after="0" w:line="240" w:lineRule="auto"/>
              <w:jc w:val="center"/>
              <w:rPr>
                <w:rFonts w:ascii="Tahoma" w:eastAsia="Times New Roman" w:hAnsi="Tahoma" w:cs="Tahoma"/>
                <w:color w:val="000000"/>
                <w:sz w:val="20"/>
                <w:szCs w:val="20"/>
                <w:lang w:eastAsia="pl-PL"/>
              </w:rPr>
            </w:pPr>
            <w:r w:rsidRPr="00AA3FF4">
              <w:t>7,5% — 8,0%</w:t>
            </w:r>
          </w:p>
        </w:tc>
        <w:tc>
          <w:tcPr>
            <w:tcW w:w="3036" w:type="dxa"/>
            <w:tcBorders>
              <w:top w:val="single" w:sz="4" w:space="0" w:color="95B3D7"/>
              <w:left w:val="nil"/>
              <w:bottom w:val="single" w:sz="4" w:space="0" w:color="95B3D7"/>
              <w:right w:val="nil"/>
            </w:tcBorders>
            <w:shd w:val="clear" w:color="DCE6F1" w:fill="DCE6F1"/>
            <w:noWrap/>
            <w:hideMark/>
          </w:tcPr>
          <w:p w14:paraId="55B14C97" w14:textId="57EAD00B" w:rsidR="00B918DD" w:rsidRPr="00A45DB0" w:rsidRDefault="00B918DD" w:rsidP="00B918DD">
            <w:pPr>
              <w:spacing w:after="0" w:line="240" w:lineRule="auto"/>
              <w:jc w:val="center"/>
              <w:rPr>
                <w:rFonts w:ascii="Tahoma" w:eastAsia="Times New Roman" w:hAnsi="Tahoma" w:cs="Tahoma"/>
                <w:color w:val="000000"/>
                <w:sz w:val="20"/>
                <w:szCs w:val="20"/>
                <w:lang w:eastAsia="pl-PL"/>
              </w:rPr>
            </w:pPr>
            <w:r w:rsidRPr="00AA3FF4">
              <w:t>571,857</w:t>
            </w:r>
          </w:p>
        </w:tc>
        <w:tc>
          <w:tcPr>
            <w:tcW w:w="3488" w:type="dxa"/>
            <w:tcBorders>
              <w:top w:val="single" w:sz="4" w:space="0" w:color="95B3D7"/>
              <w:left w:val="nil"/>
              <w:bottom w:val="single" w:sz="4" w:space="0" w:color="95B3D7"/>
              <w:right w:val="single" w:sz="4" w:space="0" w:color="95B3D7"/>
            </w:tcBorders>
            <w:shd w:val="clear" w:color="DCE6F1" w:fill="DCE6F1"/>
            <w:noWrap/>
            <w:hideMark/>
          </w:tcPr>
          <w:p w14:paraId="0DD41340" w14:textId="2AA565FE" w:rsidR="00B918DD" w:rsidRPr="00A45DB0" w:rsidRDefault="00B918DD" w:rsidP="00B918DD">
            <w:pPr>
              <w:spacing w:after="0" w:line="240" w:lineRule="auto"/>
              <w:jc w:val="center"/>
              <w:rPr>
                <w:rFonts w:ascii="Tahoma" w:eastAsia="Times New Roman" w:hAnsi="Tahoma" w:cs="Tahoma"/>
                <w:color w:val="000000"/>
                <w:sz w:val="20"/>
                <w:szCs w:val="20"/>
                <w:lang w:eastAsia="pl-PL"/>
              </w:rPr>
            </w:pPr>
            <w:r w:rsidRPr="00AA3FF4">
              <w:t>3</w:t>
            </w:r>
          </w:p>
        </w:tc>
      </w:tr>
      <w:tr w:rsidR="00B918DD" w:rsidRPr="00A45DB0" w14:paraId="5CB95886" w14:textId="77777777" w:rsidTr="00985721">
        <w:trPr>
          <w:trHeight w:val="255"/>
        </w:trPr>
        <w:tc>
          <w:tcPr>
            <w:tcW w:w="2308" w:type="dxa"/>
            <w:tcBorders>
              <w:top w:val="single" w:sz="4" w:space="0" w:color="95B3D7"/>
              <w:left w:val="single" w:sz="4" w:space="0" w:color="95B3D7"/>
              <w:bottom w:val="single" w:sz="4" w:space="0" w:color="95B3D7"/>
              <w:right w:val="nil"/>
            </w:tcBorders>
            <w:noWrap/>
            <w:vAlign w:val="center"/>
            <w:hideMark/>
          </w:tcPr>
          <w:p w14:paraId="5E42C1A9" w14:textId="77777777" w:rsidR="00B918DD" w:rsidRPr="00A45DB0" w:rsidRDefault="00B918DD" w:rsidP="00B918DD">
            <w:pPr>
              <w:spacing w:after="0" w:line="240" w:lineRule="auto"/>
              <w:jc w:val="center"/>
              <w:rPr>
                <w:rFonts w:ascii="Tahoma" w:eastAsia="Times New Roman" w:hAnsi="Tahoma" w:cs="Tahoma"/>
                <w:color w:val="000000"/>
                <w:sz w:val="20"/>
                <w:szCs w:val="20"/>
                <w:lang w:eastAsia="pl-PL"/>
              </w:rPr>
            </w:pPr>
            <w:r w:rsidRPr="00A45DB0">
              <w:rPr>
                <w:rFonts w:ascii="Tahoma" w:eastAsia="Times New Roman" w:hAnsi="Tahoma" w:cs="Tahoma"/>
                <w:color w:val="000000"/>
                <w:sz w:val="20"/>
                <w:szCs w:val="20"/>
                <w:lang w:eastAsia="pl-PL"/>
              </w:rPr>
              <w:t>6</w:t>
            </w:r>
          </w:p>
        </w:tc>
        <w:tc>
          <w:tcPr>
            <w:tcW w:w="3636" w:type="dxa"/>
            <w:tcBorders>
              <w:top w:val="single" w:sz="4" w:space="0" w:color="95B3D7"/>
              <w:left w:val="nil"/>
              <w:bottom w:val="single" w:sz="4" w:space="0" w:color="95B3D7"/>
              <w:right w:val="nil"/>
            </w:tcBorders>
            <w:noWrap/>
            <w:hideMark/>
          </w:tcPr>
          <w:p w14:paraId="420C53C0" w14:textId="79F68487" w:rsidR="00B918DD" w:rsidRPr="00A45DB0" w:rsidRDefault="00B918DD" w:rsidP="00B918DD">
            <w:pPr>
              <w:spacing w:after="0" w:line="240" w:lineRule="auto"/>
              <w:jc w:val="center"/>
              <w:rPr>
                <w:rFonts w:ascii="Tahoma" w:eastAsia="Times New Roman" w:hAnsi="Tahoma" w:cs="Tahoma"/>
                <w:color w:val="000000"/>
                <w:sz w:val="20"/>
                <w:szCs w:val="20"/>
                <w:lang w:eastAsia="pl-PL"/>
              </w:rPr>
            </w:pPr>
            <w:r w:rsidRPr="00AA3FF4">
              <w:t>8,0% — 9,8%</w:t>
            </w:r>
          </w:p>
        </w:tc>
        <w:tc>
          <w:tcPr>
            <w:tcW w:w="3036" w:type="dxa"/>
            <w:tcBorders>
              <w:top w:val="single" w:sz="4" w:space="0" w:color="95B3D7"/>
              <w:left w:val="nil"/>
              <w:bottom w:val="single" w:sz="4" w:space="0" w:color="95B3D7"/>
              <w:right w:val="nil"/>
            </w:tcBorders>
            <w:noWrap/>
            <w:hideMark/>
          </w:tcPr>
          <w:p w14:paraId="6DF5C10B" w14:textId="22C6F764" w:rsidR="00B918DD" w:rsidRPr="00A45DB0" w:rsidRDefault="00B918DD" w:rsidP="00B918DD">
            <w:pPr>
              <w:spacing w:after="0" w:line="240" w:lineRule="auto"/>
              <w:jc w:val="center"/>
              <w:rPr>
                <w:rFonts w:ascii="Tahoma" w:eastAsia="Times New Roman" w:hAnsi="Tahoma" w:cs="Tahoma"/>
                <w:color w:val="000000"/>
                <w:sz w:val="20"/>
                <w:szCs w:val="20"/>
                <w:lang w:eastAsia="pl-PL"/>
              </w:rPr>
            </w:pPr>
            <w:r w:rsidRPr="00AA3FF4">
              <w:t>714,571</w:t>
            </w:r>
          </w:p>
        </w:tc>
        <w:tc>
          <w:tcPr>
            <w:tcW w:w="3488" w:type="dxa"/>
            <w:tcBorders>
              <w:top w:val="single" w:sz="4" w:space="0" w:color="95B3D7"/>
              <w:left w:val="nil"/>
              <w:bottom w:val="single" w:sz="4" w:space="0" w:color="95B3D7"/>
              <w:right w:val="single" w:sz="4" w:space="0" w:color="95B3D7"/>
            </w:tcBorders>
            <w:noWrap/>
            <w:hideMark/>
          </w:tcPr>
          <w:p w14:paraId="07FBAA1A" w14:textId="10142C7B" w:rsidR="00B918DD" w:rsidRPr="00A45DB0" w:rsidRDefault="00B918DD" w:rsidP="00B918DD">
            <w:pPr>
              <w:spacing w:after="0" w:line="240" w:lineRule="auto"/>
              <w:jc w:val="center"/>
              <w:rPr>
                <w:rFonts w:ascii="Tahoma" w:eastAsia="Times New Roman" w:hAnsi="Tahoma" w:cs="Tahoma"/>
                <w:color w:val="000000"/>
                <w:sz w:val="20"/>
                <w:szCs w:val="20"/>
                <w:lang w:eastAsia="pl-PL"/>
              </w:rPr>
            </w:pPr>
            <w:r w:rsidRPr="00AA3FF4">
              <w:t>3</w:t>
            </w:r>
          </w:p>
        </w:tc>
      </w:tr>
      <w:tr w:rsidR="00B918DD" w:rsidRPr="00A45DB0" w14:paraId="7F5A147B" w14:textId="77777777" w:rsidTr="00985721">
        <w:trPr>
          <w:trHeight w:val="255"/>
        </w:trPr>
        <w:tc>
          <w:tcPr>
            <w:tcW w:w="2308" w:type="dxa"/>
            <w:tcBorders>
              <w:top w:val="single" w:sz="4" w:space="0" w:color="95B3D7"/>
              <w:left w:val="single" w:sz="4" w:space="0" w:color="95B3D7"/>
              <w:bottom w:val="single" w:sz="4" w:space="0" w:color="95B3D7"/>
              <w:right w:val="nil"/>
            </w:tcBorders>
            <w:shd w:val="clear" w:color="DCE6F1" w:fill="DCE6F1"/>
            <w:noWrap/>
            <w:vAlign w:val="center"/>
            <w:hideMark/>
          </w:tcPr>
          <w:p w14:paraId="4D85E58B" w14:textId="77777777" w:rsidR="00B918DD" w:rsidRPr="00A45DB0" w:rsidRDefault="00B918DD" w:rsidP="00B918DD">
            <w:pPr>
              <w:spacing w:after="0" w:line="240" w:lineRule="auto"/>
              <w:jc w:val="center"/>
              <w:rPr>
                <w:rFonts w:ascii="Tahoma" w:eastAsia="Times New Roman" w:hAnsi="Tahoma" w:cs="Tahoma"/>
                <w:color w:val="000000"/>
                <w:sz w:val="20"/>
                <w:szCs w:val="20"/>
                <w:lang w:eastAsia="pl-PL"/>
              </w:rPr>
            </w:pPr>
            <w:r w:rsidRPr="00A45DB0">
              <w:rPr>
                <w:rFonts w:ascii="Tahoma" w:eastAsia="Times New Roman" w:hAnsi="Tahoma" w:cs="Tahoma"/>
                <w:color w:val="000000"/>
                <w:sz w:val="20"/>
                <w:szCs w:val="20"/>
                <w:lang w:eastAsia="pl-PL"/>
              </w:rPr>
              <w:t>7</w:t>
            </w:r>
          </w:p>
        </w:tc>
        <w:tc>
          <w:tcPr>
            <w:tcW w:w="3636" w:type="dxa"/>
            <w:tcBorders>
              <w:top w:val="single" w:sz="4" w:space="0" w:color="95B3D7"/>
              <w:left w:val="nil"/>
              <w:bottom w:val="single" w:sz="4" w:space="0" w:color="95B3D7"/>
              <w:right w:val="nil"/>
            </w:tcBorders>
            <w:shd w:val="clear" w:color="DCE6F1" w:fill="DCE6F1"/>
            <w:noWrap/>
            <w:hideMark/>
          </w:tcPr>
          <w:p w14:paraId="24C3EFAC" w14:textId="6E112D6F" w:rsidR="00B918DD" w:rsidRPr="00A45DB0" w:rsidRDefault="00B918DD" w:rsidP="00B918DD">
            <w:pPr>
              <w:spacing w:after="0" w:line="240" w:lineRule="auto"/>
              <w:jc w:val="center"/>
              <w:rPr>
                <w:rFonts w:ascii="Tahoma" w:eastAsia="Times New Roman" w:hAnsi="Tahoma" w:cs="Tahoma"/>
                <w:color w:val="000000"/>
                <w:sz w:val="20"/>
                <w:szCs w:val="20"/>
                <w:lang w:eastAsia="pl-PL"/>
              </w:rPr>
            </w:pPr>
            <w:r w:rsidRPr="00AA3FF4">
              <w:t>9,8% — 16,8%</w:t>
            </w:r>
          </w:p>
        </w:tc>
        <w:tc>
          <w:tcPr>
            <w:tcW w:w="3036" w:type="dxa"/>
            <w:tcBorders>
              <w:top w:val="single" w:sz="4" w:space="0" w:color="95B3D7"/>
              <w:left w:val="nil"/>
              <w:bottom w:val="single" w:sz="4" w:space="0" w:color="95B3D7"/>
              <w:right w:val="nil"/>
            </w:tcBorders>
            <w:shd w:val="clear" w:color="DCE6F1" w:fill="DCE6F1"/>
            <w:noWrap/>
            <w:hideMark/>
          </w:tcPr>
          <w:p w14:paraId="0BCE5BB9" w14:textId="04536213" w:rsidR="00B918DD" w:rsidRPr="00A45DB0" w:rsidRDefault="00B918DD" w:rsidP="00B918DD">
            <w:pPr>
              <w:spacing w:after="0" w:line="240" w:lineRule="auto"/>
              <w:jc w:val="center"/>
              <w:rPr>
                <w:rFonts w:ascii="Tahoma" w:eastAsia="Times New Roman" w:hAnsi="Tahoma" w:cs="Tahoma"/>
                <w:color w:val="000000"/>
                <w:sz w:val="20"/>
                <w:szCs w:val="20"/>
                <w:lang w:eastAsia="pl-PL"/>
              </w:rPr>
            </w:pPr>
            <w:r w:rsidRPr="00AA3FF4">
              <w:t>857,286</w:t>
            </w:r>
          </w:p>
        </w:tc>
        <w:tc>
          <w:tcPr>
            <w:tcW w:w="3488" w:type="dxa"/>
            <w:tcBorders>
              <w:top w:val="single" w:sz="4" w:space="0" w:color="95B3D7"/>
              <w:left w:val="nil"/>
              <w:bottom w:val="single" w:sz="4" w:space="0" w:color="95B3D7"/>
              <w:right w:val="single" w:sz="4" w:space="0" w:color="95B3D7"/>
            </w:tcBorders>
            <w:shd w:val="clear" w:color="DCE6F1" w:fill="DCE6F1"/>
            <w:noWrap/>
            <w:hideMark/>
          </w:tcPr>
          <w:p w14:paraId="06A19191" w14:textId="512A4B1C" w:rsidR="00B918DD" w:rsidRPr="00A45DB0" w:rsidRDefault="00B918DD" w:rsidP="00B918DD">
            <w:pPr>
              <w:spacing w:after="0" w:line="240" w:lineRule="auto"/>
              <w:jc w:val="center"/>
              <w:rPr>
                <w:rFonts w:ascii="Tahoma" w:eastAsia="Times New Roman" w:hAnsi="Tahoma" w:cs="Tahoma"/>
                <w:color w:val="000000"/>
                <w:sz w:val="20"/>
                <w:szCs w:val="20"/>
                <w:lang w:eastAsia="pl-PL"/>
              </w:rPr>
            </w:pPr>
            <w:r w:rsidRPr="00AA3FF4">
              <w:t>3</w:t>
            </w:r>
          </w:p>
        </w:tc>
      </w:tr>
      <w:tr w:rsidR="00B918DD" w:rsidRPr="00A45DB0" w14:paraId="22F8C9A4" w14:textId="77777777" w:rsidTr="00985721">
        <w:trPr>
          <w:trHeight w:val="255"/>
        </w:trPr>
        <w:tc>
          <w:tcPr>
            <w:tcW w:w="2308" w:type="dxa"/>
            <w:tcBorders>
              <w:top w:val="single" w:sz="4" w:space="0" w:color="95B3D7"/>
              <w:left w:val="single" w:sz="4" w:space="0" w:color="95B3D7"/>
              <w:bottom w:val="single" w:sz="4" w:space="0" w:color="95B3D7"/>
              <w:right w:val="nil"/>
            </w:tcBorders>
            <w:noWrap/>
            <w:vAlign w:val="center"/>
            <w:hideMark/>
          </w:tcPr>
          <w:p w14:paraId="3DD0A45A" w14:textId="77777777" w:rsidR="00B918DD" w:rsidRPr="00A45DB0" w:rsidRDefault="00B918DD" w:rsidP="00B918DD">
            <w:pPr>
              <w:spacing w:after="0" w:line="240" w:lineRule="auto"/>
              <w:jc w:val="center"/>
              <w:rPr>
                <w:rFonts w:ascii="Tahoma" w:eastAsia="Times New Roman" w:hAnsi="Tahoma" w:cs="Tahoma"/>
                <w:color w:val="000000"/>
                <w:sz w:val="20"/>
                <w:szCs w:val="20"/>
                <w:lang w:eastAsia="pl-PL"/>
              </w:rPr>
            </w:pPr>
            <w:r w:rsidRPr="00A45DB0">
              <w:rPr>
                <w:rFonts w:ascii="Tahoma" w:eastAsia="Times New Roman" w:hAnsi="Tahoma" w:cs="Tahoma"/>
                <w:color w:val="000000"/>
                <w:sz w:val="20"/>
                <w:szCs w:val="20"/>
                <w:lang w:eastAsia="pl-PL"/>
              </w:rPr>
              <w:t>8</w:t>
            </w:r>
          </w:p>
        </w:tc>
        <w:tc>
          <w:tcPr>
            <w:tcW w:w="3636" w:type="dxa"/>
            <w:tcBorders>
              <w:top w:val="single" w:sz="4" w:space="0" w:color="95B3D7"/>
              <w:left w:val="nil"/>
              <w:bottom w:val="single" w:sz="4" w:space="0" w:color="95B3D7"/>
              <w:right w:val="nil"/>
            </w:tcBorders>
            <w:noWrap/>
            <w:hideMark/>
          </w:tcPr>
          <w:p w14:paraId="083DD94E" w14:textId="5F89700C" w:rsidR="00B918DD" w:rsidRPr="00A45DB0" w:rsidRDefault="00B918DD" w:rsidP="00B918DD">
            <w:pPr>
              <w:spacing w:after="0" w:line="240" w:lineRule="auto"/>
              <w:jc w:val="center"/>
              <w:rPr>
                <w:rFonts w:ascii="Tahoma" w:eastAsia="Times New Roman" w:hAnsi="Tahoma" w:cs="Tahoma"/>
                <w:color w:val="000000"/>
                <w:sz w:val="20"/>
                <w:szCs w:val="20"/>
                <w:lang w:eastAsia="pl-PL"/>
              </w:rPr>
            </w:pPr>
            <w:r w:rsidRPr="00AA3FF4">
              <w:t xml:space="preserve">16,8% — </w:t>
            </w:r>
          </w:p>
        </w:tc>
        <w:tc>
          <w:tcPr>
            <w:tcW w:w="3036" w:type="dxa"/>
            <w:tcBorders>
              <w:top w:val="single" w:sz="4" w:space="0" w:color="95B3D7"/>
              <w:left w:val="nil"/>
              <w:bottom w:val="single" w:sz="4" w:space="0" w:color="95B3D7"/>
              <w:right w:val="nil"/>
            </w:tcBorders>
            <w:noWrap/>
            <w:hideMark/>
          </w:tcPr>
          <w:p w14:paraId="47C63930" w14:textId="27C04766" w:rsidR="00B918DD" w:rsidRPr="00A45DB0" w:rsidRDefault="00B918DD" w:rsidP="00B918DD">
            <w:pPr>
              <w:spacing w:after="0" w:line="240" w:lineRule="auto"/>
              <w:jc w:val="center"/>
              <w:rPr>
                <w:rFonts w:ascii="Tahoma" w:eastAsia="Times New Roman" w:hAnsi="Tahoma" w:cs="Tahoma"/>
                <w:color w:val="000000"/>
                <w:sz w:val="20"/>
                <w:szCs w:val="20"/>
                <w:lang w:eastAsia="pl-PL"/>
              </w:rPr>
            </w:pPr>
            <w:r w:rsidRPr="00AA3FF4">
              <w:t>1000</w:t>
            </w:r>
          </w:p>
        </w:tc>
        <w:tc>
          <w:tcPr>
            <w:tcW w:w="3488" w:type="dxa"/>
            <w:tcBorders>
              <w:top w:val="single" w:sz="4" w:space="0" w:color="95B3D7"/>
              <w:left w:val="nil"/>
              <w:bottom w:val="single" w:sz="4" w:space="0" w:color="95B3D7"/>
              <w:right w:val="single" w:sz="4" w:space="0" w:color="95B3D7"/>
            </w:tcBorders>
            <w:noWrap/>
            <w:hideMark/>
          </w:tcPr>
          <w:p w14:paraId="1A8CB497" w14:textId="411EC6AC" w:rsidR="00B918DD" w:rsidRPr="00A45DB0" w:rsidRDefault="00B918DD" w:rsidP="00B918DD">
            <w:pPr>
              <w:spacing w:after="0" w:line="240" w:lineRule="auto"/>
              <w:jc w:val="center"/>
              <w:rPr>
                <w:rFonts w:ascii="Tahoma" w:eastAsia="Times New Roman" w:hAnsi="Tahoma" w:cs="Tahoma"/>
                <w:color w:val="000000"/>
                <w:sz w:val="20"/>
                <w:szCs w:val="20"/>
                <w:lang w:eastAsia="pl-PL"/>
              </w:rPr>
            </w:pPr>
            <w:r w:rsidRPr="00AA3FF4">
              <w:t>3</w:t>
            </w:r>
          </w:p>
        </w:tc>
      </w:tr>
    </w:tbl>
    <w:p w14:paraId="1544FE4A" w14:textId="77777777" w:rsidR="00A45DB0" w:rsidRPr="00E25134" w:rsidRDefault="00A45DB0">
      <w:pPr>
        <w:rPr>
          <w:rFonts w:cstheme="minorHAnsi"/>
          <w:highlight w:val="yellow"/>
        </w:rPr>
      </w:pPr>
    </w:p>
    <w:p w14:paraId="0B0B04C9" w14:textId="77777777" w:rsidR="00240D41" w:rsidRPr="00C75DD7" w:rsidRDefault="0053756E" w:rsidP="00244D55">
      <w:pPr>
        <w:keepNext/>
        <w:shd w:val="clear" w:color="auto" w:fill="FFFFFF"/>
        <w:spacing w:before="312" w:after="120" w:line="240" w:lineRule="auto"/>
        <w:rPr>
          <w:rFonts w:eastAsia="Times New Roman" w:cstheme="minorHAnsi"/>
          <w:b/>
          <w:iCs/>
          <w:color w:val="000000"/>
          <w:szCs w:val="20"/>
          <w:lang w:eastAsia="pl-PL"/>
        </w:rPr>
      </w:pPr>
      <w:r w:rsidRPr="00C75DD7">
        <w:rPr>
          <w:rFonts w:eastAsia="Times New Roman" w:cstheme="minorHAnsi"/>
          <w:b/>
          <w:iCs/>
          <w:color w:val="000000"/>
          <w:szCs w:val="20"/>
          <w:lang w:eastAsia="pl-PL"/>
        </w:rPr>
        <w:t xml:space="preserve">Współczynnik kapitału podstawowego </w:t>
      </w:r>
      <w:proofErr w:type="spellStart"/>
      <w:r w:rsidRPr="00C75DD7">
        <w:rPr>
          <w:rFonts w:eastAsia="Times New Roman" w:cstheme="minorHAnsi"/>
          <w:b/>
          <w:iCs/>
          <w:color w:val="000000"/>
          <w:szCs w:val="20"/>
          <w:lang w:eastAsia="pl-PL"/>
        </w:rPr>
        <w:t>Tier</w:t>
      </w:r>
      <w:proofErr w:type="spellEnd"/>
      <w:r w:rsidRPr="00C75DD7">
        <w:rPr>
          <w:rFonts w:eastAsia="Times New Roman" w:cstheme="minorHAnsi"/>
          <w:b/>
          <w:iCs/>
          <w:color w:val="000000"/>
          <w:szCs w:val="20"/>
          <w:lang w:eastAsia="pl-PL"/>
        </w:rPr>
        <w:t xml:space="preserve"> I</w:t>
      </w:r>
    </w:p>
    <w:p w14:paraId="12AF9ED3" w14:textId="77777777" w:rsidR="004173AB" w:rsidRDefault="004173AB" w:rsidP="00A730BE">
      <w:pPr>
        <w:rPr>
          <w:rFonts w:cstheme="minorHAnsi"/>
          <w:highlight w:val="yellow"/>
        </w:rPr>
      </w:pPr>
    </w:p>
    <w:tbl>
      <w:tblPr>
        <w:tblW w:w="12468" w:type="dxa"/>
        <w:tblCellMar>
          <w:left w:w="70" w:type="dxa"/>
          <w:right w:w="70" w:type="dxa"/>
        </w:tblCellMar>
        <w:tblLook w:val="04A0" w:firstRow="1" w:lastRow="0" w:firstColumn="1" w:lastColumn="0" w:noHBand="0" w:noVBand="1"/>
      </w:tblPr>
      <w:tblGrid>
        <w:gridCol w:w="2308"/>
        <w:gridCol w:w="3636"/>
        <w:gridCol w:w="3036"/>
        <w:gridCol w:w="3488"/>
      </w:tblGrid>
      <w:tr w:rsidR="00A45DB0" w:rsidRPr="00A45DB0" w14:paraId="31F3DFBC" w14:textId="77777777" w:rsidTr="00A45DB0">
        <w:trPr>
          <w:trHeight w:val="255"/>
        </w:trPr>
        <w:tc>
          <w:tcPr>
            <w:tcW w:w="2308" w:type="dxa"/>
            <w:tcBorders>
              <w:top w:val="single" w:sz="4" w:space="0" w:color="95B3D7"/>
              <w:left w:val="single" w:sz="4" w:space="0" w:color="95B3D7"/>
              <w:bottom w:val="single" w:sz="4" w:space="0" w:color="95B3D7"/>
              <w:right w:val="nil"/>
            </w:tcBorders>
            <w:shd w:val="clear" w:color="4F81BD" w:fill="4F81BD"/>
            <w:noWrap/>
            <w:vAlign w:val="bottom"/>
            <w:hideMark/>
          </w:tcPr>
          <w:p w14:paraId="7476F714" w14:textId="77777777" w:rsidR="00A45DB0" w:rsidRPr="00A45DB0" w:rsidRDefault="00A45DB0" w:rsidP="00A45DB0">
            <w:pPr>
              <w:spacing w:after="0" w:line="240" w:lineRule="auto"/>
              <w:jc w:val="center"/>
              <w:rPr>
                <w:rFonts w:ascii="Tahoma" w:eastAsia="Times New Roman" w:hAnsi="Tahoma" w:cs="Tahoma"/>
                <w:b/>
                <w:bCs/>
                <w:color w:val="FFFFFF"/>
                <w:sz w:val="20"/>
                <w:szCs w:val="20"/>
                <w:lang w:eastAsia="pl-PL"/>
              </w:rPr>
            </w:pPr>
            <w:r w:rsidRPr="00A45DB0">
              <w:rPr>
                <w:rFonts w:ascii="Tahoma" w:eastAsia="Times New Roman" w:hAnsi="Tahoma" w:cs="Tahoma"/>
                <w:b/>
                <w:bCs/>
                <w:color w:val="FFFFFF"/>
                <w:sz w:val="20"/>
                <w:szCs w:val="20"/>
                <w:lang w:eastAsia="pl-PL"/>
              </w:rPr>
              <w:t>Numer przedziału</w:t>
            </w:r>
          </w:p>
        </w:tc>
        <w:tc>
          <w:tcPr>
            <w:tcW w:w="3636" w:type="dxa"/>
            <w:tcBorders>
              <w:top w:val="single" w:sz="4" w:space="0" w:color="95B3D7"/>
              <w:left w:val="nil"/>
              <w:bottom w:val="single" w:sz="4" w:space="0" w:color="95B3D7"/>
              <w:right w:val="nil"/>
            </w:tcBorders>
            <w:shd w:val="clear" w:color="4F81BD" w:fill="4F81BD"/>
            <w:noWrap/>
            <w:vAlign w:val="bottom"/>
            <w:hideMark/>
          </w:tcPr>
          <w:p w14:paraId="12F1C290" w14:textId="77777777" w:rsidR="00A45DB0" w:rsidRPr="00A45DB0" w:rsidRDefault="00A45DB0" w:rsidP="00A45DB0">
            <w:pPr>
              <w:spacing w:after="0" w:line="240" w:lineRule="auto"/>
              <w:jc w:val="center"/>
              <w:rPr>
                <w:rFonts w:ascii="Tahoma" w:eastAsia="Times New Roman" w:hAnsi="Tahoma" w:cs="Tahoma"/>
                <w:b/>
                <w:bCs/>
                <w:color w:val="FFFFFF"/>
                <w:sz w:val="20"/>
                <w:szCs w:val="20"/>
                <w:lang w:eastAsia="pl-PL"/>
              </w:rPr>
            </w:pPr>
            <w:r w:rsidRPr="00A45DB0">
              <w:rPr>
                <w:rFonts w:ascii="Tahoma" w:eastAsia="Times New Roman" w:hAnsi="Tahoma" w:cs="Tahoma"/>
                <w:b/>
                <w:bCs/>
                <w:color w:val="FFFFFF"/>
                <w:sz w:val="20"/>
                <w:szCs w:val="20"/>
                <w:lang w:eastAsia="pl-PL"/>
              </w:rPr>
              <w:t>Przedziały wartości wskaźnika</w:t>
            </w:r>
          </w:p>
        </w:tc>
        <w:tc>
          <w:tcPr>
            <w:tcW w:w="3036" w:type="dxa"/>
            <w:tcBorders>
              <w:top w:val="single" w:sz="4" w:space="0" w:color="95B3D7"/>
              <w:left w:val="nil"/>
              <w:bottom w:val="single" w:sz="4" w:space="0" w:color="95B3D7"/>
              <w:right w:val="nil"/>
            </w:tcBorders>
            <w:shd w:val="clear" w:color="4F81BD" w:fill="4F81BD"/>
            <w:noWrap/>
            <w:vAlign w:val="bottom"/>
            <w:hideMark/>
          </w:tcPr>
          <w:p w14:paraId="5FC1D15F" w14:textId="77777777" w:rsidR="00A45DB0" w:rsidRPr="00A45DB0" w:rsidRDefault="00A45DB0" w:rsidP="00A45DB0">
            <w:pPr>
              <w:spacing w:after="0" w:line="240" w:lineRule="auto"/>
              <w:jc w:val="center"/>
              <w:rPr>
                <w:rFonts w:ascii="Tahoma" w:eastAsia="Times New Roman" w:hAnsi="Tahoma" w:cs="Tahoma"/>
                <w:b/>
                <w:bCs/>
                <w:color w:val="FFFFFF"/>
                <w:sz w:val="20"/>
                <w:szCs w:val="20"/>
                <w:lang w:eastAsia="pl-PL"/>
              </w:rPr>
            </w:pPr>
            <w:r w:rsidRPr="00A45DB0">
              <w:rPr>
                <w:rFonts w:ascii="Tahoma" w:eastAsia="Times New Roman" w:hAnsi="Tahoma" w:cs="Tahoma"/>
                <w:b/>
                <w:bCs/>
                <w:color w:val="FFFFFF"/>
                <w:sz w:val="20"/>
                <w:szCs w:val="20"/>
                <w:lang w:eastAsia="pl-PL"/>
              </w:rPr>
              <w:t>Ocena ryzyka przedziału</w:t>
            </w:r>
          </w:p>
        </w:tc>
        <w:tc>
          <w:tcPr>
            <w:tcW w:w="3488" w:type="dxa"/>
            <w:tcBorders>
              <w:top w:val="single" w:sz="4" w:space="0" w:color="95B3D7"/>
              <w:left w:val="nil"/>
              <w:bottom w:val="single" w:sz="4" w:space="0" w:color="95B3D7"/>
              <w:right w:val="single" w:sz="4" w:space="0" w:color="95B3D7"/>
            </w:tcBorders>
            <w:shd w:val="clear" w:color="4F81BD" w:fill="4F81BD"/>
            <w:noWrap/>
            <w:vAlign w:val="bottom"/>
            <w:hideMark/>
          </w:tcPr>
          <w:p w14:paraId="298A1928" w14:textId="77777777" w:rsidR="00A45DB0" w:rsidRPr="00A45DB0" w:rsidRDefault="00A45DB0" w:rsidP="00A45DB0">
            <w:pPr>
              <w:spacing w:after="0" w:line="240" w:lineRule="auto"/>
              <w:jc w:val="center"/>
              <w:rPr>
                <w:rFonts w:ascii="Tahoma" w:eastAsia="Times New Roman" w:hAnsi="Tahoma" w:cs="Tahoma"/>
                <w:b/>
                <w:bCs/>
                <w:color w:val="FFFFFF"/>
                <w:sz w:val="20"/>
                <w:szCs w:val="20"/>
                <w:lang w:eastAsia="pl-PL"/>
              </w:rPr>
            </w:pPr>
            <w:r w:rsidRPr="00A45DB0">
              <w:rPr>
                <w:rFonts w:ascii="Tahoma" w:eastAsia="Times New Roman" w:hAnsi="Tahoma" w:cs="Tahoma"/>
                <w:b/>
                <w:bCs/>
                <w:color w:val="FFFFFF"/>
                <w:sz w:val="20"/>
                <w:szCs w:val="20"/>
                <w:lang w:eastAsia="pl-PL"/>
              </w:rPr>
              <w:t>Liczba instytucji w przedziale</w:t>
            </w:r>
          </w:p>
        </w:tc>
      </w:tr>
      <w:tr w:rsidR="00B918DD" w:rsidRPr="00A45DB0" w14:paraId="29A552E0" w14:textId="77777777" w:rsidTr="00376201">
        <w:trPr>
          <w:trHeight w:val="255"/>
        </w:trPr>
        <w:tc>
          <w:tcPr>
            <w:tcW w:w="2308" w:type="dxa"/>
            <w:tcBorders>
              <w:top w:val="single" w:sz="4" w:space="0" w:color="95B3D7"/>
              <w:left w:val="single" w:sz="4" w:space="0" w:color="95B3D7"/>
              <w:bottom w:val="single" w:sz="4" w:space="0" w:color="95B3D7"/>
              <w:right w:val="nil"/>
            </w:tcBorders>
            <w:shd w:val="clear" w:color="DCE6F1" w:fill="DCE6F1"/>
            <w:noWrap/>
            <w:vAlign w:val="bottom"/>
            <w:hideMark/>
          </w:tcPr>
          <w:p w14:paraId="73DAFEB8" w14:textId="77777777" w:rsidR="00B918DD" w:rsidRPr="00A45DB0" w:rsidRDefault="00B918DD" w:rsidP="00B918DD">
            <w:pPr>
              <w:spacing w:after="0" w:line="240" w:lineRule="auto"/>
              <w:jc w:val="center"/>
              <w:rPr>
                <w:rFonts w:ascii="Tahoma" w:eastAsia="Times New Roman" w:hAnsi="Tahoma" w:cs="Tahoma"/>
                <w:color w:val="000000"/>
                <w:sz w:val="20"/>
                <w:szCs w:val="20"/>
                <w:lang w:eastAsia="pl-PL"/>
              </w:rPr>
            </w:pPr>
            <w:r w:rsidRPr="00A45DB0">
              <w:rPr>
                <w:rFonts w:ascii="Tahoma" w:eastAsia="Times New Roman" w:hAnsi="Tahoma" w:cs="Tahoma"/>
                <w:color w:val="000000"/>
                <w:sz w:val="20"/>
                <w:szCs w:val="20"/>
                <w:lang w:eastAsia="pl-PL"/>
              </w:rPr>
              <w:t>1</w:t>
            </w:r>
          </w:p>
        </w:tc>
        <w:tc>
          <w:tcPr>
            <w:tcW w:w="3636" w:type="dxa"/>
            <w:tcBorders>
              <w:top w:val="single" w:sz="4" w:space="0" w:color="95B3D7"/>
              <w:left w:val="nil"/>
              <w:bottom w:val="single" w:sz="4" w:space="0" w:color="95B3D7"/>
              <w:right w:val="nil"/>
            </w:tcBorders>
            <w:shd w:val="clear" w:color="DCE6F1" w:fill="DCE6F1"/>
            <w:noWrap/>
            <w:hideMark/>
          </w:tcPr>
          <w:p w14:paraId="336AC75D" w14:textId="5E666E26" w:rsidR="00B918DD" w:rsidRPr="00A45DB0" w:rsidRDefault="00B918DD" w:rsidP="00B918DD">
            <w:pPr>
              <w:spacing w:after="0" w:line="240" w:lineRule="auto"/>
              <w:jc w:val="center"/>
              <w:rPr>
                <w:rFonts w:ascii="Tahoma" w:eastAsia="Times New Roman" w:hAnsi="Tahoma" w:cs="Tahoma"/>
                <w:color w:val="000000"/>
                <w:sz w:val="20"/>
                <w:szCs w:val="20"/>
                <w:lang w:eastAsia="pl-PL"/>
              </w:rPr>
            </w:pPr>
            <w:r w:rsidRPr="00923BAC">
              <w:t xml:space="preserve"> — 15,3%</w:t>
            </w:r>
          </w:p>
        </w:tc>
        <w:tc>
          <w:tcPr>
            <w:tcW w:w="3036" w:type="dxa"/>
            <w:tcBorders>
              <w:top w:val="single" w:sz="4" w:space="0" w:color="95B3D7"/>
              <w:left w:val="nil"/>
              <w:bottom w:val="single" w:sz="4" w:space="0" w:color="95B3D7"/>
              <w:right w:val="nil"/>
            </w:tcBorders>
            <w:shd w:val="clear" w:color="DCE6F1" w:fill="DCE6F1"/>
            <w:noWrap/>
            <w:hideMark/>
          </w:tcPr>
          <w:p w14:paraId="226F11A1" w14:textId="025CDAA6" w:rsidR="00B918DD" w:rsidRPr="00A45DB0" w:rsidRDefault="00B918DD" w:rsidP="00B918DD">
            <w:pPr>
              <w:spacing w:after="0" w:line="240" w:lineRule="auto"/>
              <w:jc w:val="center"/>
              <w:rPr>
                <w:rFonts w:ascii="Tahoma" w:eastAsia="Times New Roman" w:hAnsi="Tahoma" w:cs="Tahoma"/>
                <w:color w:val="000000"/>
                <w:sz w:val="20"/>
                <w:szCs w:val="20"/>
                <w:lang w:eastAsia="pl-PL"/>
              </w:rPr>
            </w:pPr>
            <w:r w:rsidRPr="00923BAC">
              <w:t>1</w:t>
            </w:r>
          </w:p>
        </w:tc>
        <w:tc>
          <w:tcPr>
            <w:tcW w:w="3488" w:type="dxa"/>
            <w:tcBorders>
              <w:top w:val="single" w:sz="4" w:space="0" w:color="95B3D7"/>
              <w:left w:val="nil"/>
              <w:bottom w:val="single" w:sz="4" w:space="0" w:color="95B3D7"/>
              <w:right w:val="single" w:sz="4" w:space="0" w:color="95B3D7"/>
            </w:tcBorders>
            <w:shd w:val="clear" w:color="DCE6F1" w:fill="DCE6F1"/>
            <w:noWrap/>
            <w:hideMark/>
          </w:tcPr>
          <w:p w14:paraId="1A0414F9" w14:textId="1BB581BA" w:rsidR="00B918DD" w:rsidRPr="00A45DB0" w:rsidRDefault="00B918DD" w:rsidP="00B918DD">
            <w:pPr>
              <w:spacing w:after="0" w:line="240" w:lineRule="auto"/>
              <w:jc w:val="center"/>
              <w:rPr>
                <w:rFonts w:ascii="Tahoma" w:eastAsia="Times New Roman" w:hAnsi="Tahoma" w:cs="Tahoma"/>
                <w:color w:val="000000"/>
                <w:sz w:val="20"/>
                <w:szCs w:val="20"/>
                <w:lang w:eastAsia="pl-PL"/>
              </w:rPr>
            </w:pPr>
            <w:r w:rsidRPr="00923BAC">
              <w:t>3</w:t>
            </w:r>
          </w:p>
        </w:tc>
      </w:tr>
      <w:tr w:rsidR="00B918DD" w:rsidRPr="00A45DB0" w14:paraId="29F7399C" w14:textId="77777777" w:rsidTr="00376201">
        <w:trPr>
          <w:trHeight w:val="255"/>
        </w:trPr>
        <w:tc>
          <w:tcPr>
            <w:tcW w:w="2308" w:type="dxa"/>
            <w:tcBorders>
              <w:top w:val="single" w:sz="4" w:space="0" w:color="95B3D7"/>
              <w:left w:val="single" w:sz="4" w:space="0" w:color="95B3D7"/>
              <w:bottom w:val="single" w:sz="4" w:space="0" w:color="95B3D7"/>
              <w:right w:val="nil"/>
            </w:tcBorders>
            <w:noWrap/>
            <w:vAlign w:val="bottom"/>
            <w:hideMark/>
          </w:tcPr>
          <w:p w14:paraId="46691A9D" w14:textId="77777777" w:rsidR="00B918DD" w:rsidRPr="00A45DB0" w:rsidRDefault="00B918DD" w:rsidP="00B918DD">
            <w:pPr>
              <w:spacing w:after="0" w:line="240" w:lineRule="auto"/>
              <w:jc w:val="center"/>
              <w:rPr>
                <w:rFonts w:ascii="Tahoma" w:eastAsia="Times New Roman" w:hAnsi="Tahoma" w:cs="Tahoma"/>
                <w:color w:val="000000"/>
                <w:sz w:val="20"/>
                <w:szCs w:val="20"/>
                <w:lang w:eastAsia="pl-PL"/>
              </w:rPr>
            </w:pPr>
            <w:r w:rsidRPr="00A45DB0">
              <w:rPr>
                <w:rFonts w:ascii="Tahoma" w:eastAsia="Times New Roman" w:hAnsi="Tahoma" w:cs="Tahoma"/>
                <w:color w:val="000000"/>
                <w:sz w:val="20"/>
                <w:szCs w:val="20"/>
                <w:lang w:eastAsia="pl-PL"/>
              </w:rPr>
              <w:t>2</w:t>
            </w:r>
          </w:p>
        </w:tc>
        <w:tc>
          <w:tcPr>
            <w:tcW w:w="3636" w:type="dxa"/>
            <w:tcBorders>
              <w:top w:val="single" w:sz="4" w:space="0" w:color="95B3D7"/>
              <w:left w:val="nil"/>
              <w:bottom w:val="single" w:sz="4" w:space="0" w:color="95B3D7"/>
              <w:right w:val="nil"/>
            </w:tcBorders>
            <w:noWrap/>
            <w:hideMark/>
          </w:tcPr>
          <w:p w14:paraId="492EDE90" w14:textId="0131D8F5" w:rsidR="00B918DD" w:rsidRPr="00A45DB0" w:rsidRDefault="00B918DD" w:rsidP="00B918DD">
            <w:pPr>
              <w:spacing w:after="0" w:line="240" w:lineRule="auto"/>
              <w:jc w:val="center"/>
              <w:rPr>
                <w:rFonts w:ascii="Tahoma" w:eastAsia="Times New Roman" w:hAnsi="Tahoma" w:cs="Tahoma"/>
                <w:color w:val="000000"/>
                <w:sz w:val="20"/>
                <w:szCs w:val="20"/>
                <w:lang w:eastAsia="pl-PL"/>
              </w:rPr>
            </w:pPr>
            <w:r w:rsidRPr="00923BAC">
              <w:t>15,3% — 16,1%</w:t>
            </w:r>
          </w:p>
        </w:tc>
        <w:tc>
          <w:tcPr>
            <w:tcW w:w="3036" w:type="dxa"/>
            <w:tcBorders>
              <w:top w:val="single" w:sz="4" w:space="0" w:color="95B3D7"/>
              <w:left w:val="nil"/>
              <w:bottom w:val="single" w:sz="4" w:space="0" w:color="95B3D7"/>
              <w:right w:val="nil"/>
            </w:tcBorders>
            <w:noWrap/>
            <w:hideMark/>
          </w:tcPr>
          <w:p w14:paraId="261D18E0" w14:textId="3369DCE3" w:rsidR="00B918DD" w:rsidRPr="00A45DB0" w:rsidRDefault="00B918DD" w:rsidP="00B918DD">
            <w:pPr>
              <w:spacing w:after="0" w:line="240" w:lineRule="auto"/>
              <w:jc w:val="center"/>
              <w:rPr>
                <w:rFonts w:ascii="Tahoma" w:eastAsia="Times New Roman" w:hAnsi="Tahoma" w:cs="Tahoma"/>
                <w:color w:val="000000"/>
                <w:sz w:val="20"/>
                <w:szCs w:val="20"/>
                <w:lang w:eastAsia="pl-PL"/>
              </w:rPr>
            </w:pPr>
            <w:r w:rsidRPr="00923BAC">
              <w:t>125,875</w:t>
            </w:r>
          </w:p>
        </w:tc>
        <w:tc>
          <w:tcPr>
            <w:tcW w:w="3488" w:type="dxa"/>
            <w:tcBorders>
              <w:top w:val="single" w:sz="4" w:space="0" w:color="95B3D7"/>
              <w:left w:val="nil"/>
              <w:bottom w:val="single" w:sz="4" w:space="0" w:color="95B3D7"/>
              <w:right w:val="single" w:sz="4" w:space="0" w:color="95B3D7"/>
            </w:tcBorders>
            <w:noWrap/>
            <w:hideMark/>
          </w:tcPr>
          <w:p w14:paraId="455005B1" w14:textId="1974A5D2" w:rsidR="00B918DD" w:rsidRPr="00A45DB0" w:rsidRDefault="00B918DD" w:rsidP="00B918DD">
            <w:pPr>
              <w:spacing w:after="0" w:line="240" w:lineRule="auto"/>
              <w:jc w:val="center"/>
              <w:rPr>
                <w:rFonts w:ascii="Tahoma" w:eastAsia="Times New Roman" w:hAnsi="Tahoma" w:cs="Tahoma"/>
                <w:color w:val="000000"/>
                <w:sz w:val="20"/>
                <w:szCs w:val="20"/>
                <w:lang w:eastAsia="pl-PL"/>
              </w:rPr>
            </w:pPr>
            <w:r w:rsidRPr="00923BAC">
              <w:t>3</w:t>
            </w:r>
          </w:p>
        </w:tc>
      </w:tr>
      <w:tr w:rsidR="00B918DD" w:rsidRPr="00A45DB0" w14:paraId="3EE66BC3" w14:textId="77777777" w:rsidTr="00376201">
        <w:trPr>
          <w:trHeight w:val="255"/>
        </w:trPr>
        <w:tc>
          <w:tcPr>
            <w:tcW w:w="2308" w:type="dxa"/>
            <w:tcBorders>
              <w:top w:val="single" w:sz="4" w:space="0" w:color="95B3D7"/>
              <w:left w:val="single" w:sz="4" w:space="0" w:color="95B3D7"/>
              <w:bottom w:val="single" w:sz="4" w:space="0" w:color="95B3D7"/>
              <w:right w:val="nil"/>
            </w:tcBorders>
            <w:shd w:val="clear" w:color="DCE6F1" w:fill="DCE6F1"/>
            <w:noWrap/>
            <w:vAlign w:val="bottom"/>
            <w:hideMark/>
          </w:tcPr>
          <w:p w14:paraId="0C69D524" w14:textId="77777777" w:rsidR="00B918DD" w:rsidRPr="00A45DB0" w:rsidRDefault="00B918DD" w:rsidP="00B918DD">
            <w:pPr>
              <w:spacing w:after="0" w:line="240" w:lineRule="auto"/>
              <w:jc w:val="center"/>
              <w:rPr>
                <w:rFonts w:ascii="Tahoma" w:eastAsia="Times New Roman" w:hAnsi="Tahoma" w:cs="Tahoma"/>
                <w:color w:val="000000"/>
                <w:sz w:val="20"/>
                <w:szCs w:val="20"/>
                <w:lang w:eastAsia="pl-PL"/>
              </w:rPr>
            </w:pPr>
            <w:r w:rsidRPr="00A45DB0">
              <w:rPr>
                <w:rFonts w:ascii="Tahoma" w:eastAsia="Times New Roman" w:hAnsi="Tahoma" w:cs="Tahoma"/>
                <w:color w:val="000000"/>
                <w:sz w:val="20"/>
                <w:szCs w:val="20"/>
                <w:lang w:eastAsia="pl-PL"/>
              </w:rPr>
              <w:t>3</w:t>
            </w:r>
          </w:p>
        </w:tc>
        <w:tc>
          <w:tcPr>
            <w:tcW w:w="3636" w:type="dxa"/>
            <w:tcBorders>
              <w:top w:val="single" w:sz="4" w:space="0" w:color="95B3D7"/>
              <w:left w:val="nil"/>
              <w:bottom w:val="single" w:sz="4" w:space="0" w:color="95B3D7"/>
              <w:right w:val="nil"/>
            </w:tcBorders>
            <w:shd w:val="clear" w:color="DCE6F1" w:fill="DCE6F1"/>
            <w:noWrap/>
            <w:hideMark/>
          </w:tcPr>
          <w:p w14:paraId="532273C9" w14:textId="40D2BC49" w:rsidR="00B918DD" w:rsidRPr="00A45DB0" w:rsidRDefault="00B918DD" w:rsidP="00B918DD">
            <w:pPr>
              <w:spacing w:after="0" w:line="240" w:lineRule="auto"/>
              <w:jc w:val="center"/>
              <w:rPr>
                <w:rFonts w:ascii="Tahoma" w:eastAsia="Times New Roman" w:hAnsi="Tahoma" w:cs="Tahoma"/>
                <w:color w:val="000000"/>
                <w:sz w:val="20"/>
                <w:szCs w:val="20"/>
                <w:lang w:eastAsia="pl-PL"/>
              </w:rPr>
            </w:pPr>
            <w:r w:rsidRPr="00923BAC">
              <w:t>16,1% — 17,6%</w:t>
            </w:r>
          </w:p>
        </w:tc>
        <w:tc>
          <w:tcPr>
            <w:tcW w:w="3036" w:type="dxa"/>
            <w:tcBorders>
              <w:top w:val="single" w:sz="4" w:space="0" w:color="95B3D7"/>
              <w:left w:val="nil"/>
              <w:bottom w:val="single" w:sz="4" w:space="0" w:color="95B3D7"/>
              <w:right w:val="nil"/>
            </w:tcBorders>
            <w:shd w:val="clear" w:color="DCE6F1" w:fill="DCE6F1"/>
            <w:noWrap/>
            <w:hideMark/>
          </w:tcPr>
          <w:p w14:paraId="6BC0B837" w14:textId="3883DE87" w:rsidR="00B918DD" w:rsidRPr="00A45DB0" w:rsidRDefault="00B918DD" w:rsidP="00B918DD">
            <w:pPr>
              <w:spacing w:after="0" w:line="240" w:lineRule="auto"/>
              <w:jc w:val="center"/>
              <w:rPr>
                <w:rFonts w:ascii="Tahoma" w:eastAsia="Times New Roman" w:hAnsi="Tahoma" w:cs="Tahoma"/>
                <w:color w:val="000000"/>
                <w:sz w:val="20"/>
                <w:szCs w:val="20"/>
                <w:lang w:eastAsia="pl-PL"/>
              </w:rPr>
            </w:pPr>
            <w:r w:rsidRPr="00923BAC">
              <w:t>250,75</w:t>
            </w:r>
          </w:p>
        </w:tc>
        <w:tc>
          <w:tcPr>
            <w:tcW w:w="3488" w:type="dxa"/>
            <w:tcBorders>
              <w:top w:val="single" w:sz="4" w:space="0" w:color="95B3D7"/>
              <w:left w:val="nil"/>
              <w:bottom w:val="single" w:sz="4" w:space="0" w:color="95B3D7"/>
              <w:right w:val="single" w:sz="4" w:space="0" w:color="95B3D7"/>
            </w:tcBorders>
            <w:shd w:val="clear" w:color="DCE6F1" w:fill="DCE6F1"/>
            <w:noWrap/>
            <w:hideMark/>
          </w:tcPr>
          <w:p w14:paraId="5B67F9C9" w14:textId="38BA62E2" w:rsidR="00B918DD" w:rsidRPr="00A45DB0" w:rsidRDefault="00B918DD" w:rsidP="00B918DD">
            <w:pPr>
              <w:spacing w:after="0" w:line="240" w:lineRule="auto"/>
              <w:jc w:val="center"/>
              <w:rPr>
                <w:rFonts w:ascii="Tahoma" w:eastAsia="Times New Roman" w:hAnsi="Tahoma" w:cs="Tahoma"/>
                <w:color w:val="000000"/>
                <w:sz w:val="20"/>
                <w:szCs w:val="20"/>
                <w:lang w:eastAsia="pl-PL"/>
              </w:rPr>
            </w:pPr>
            <w:r w:rsidRPr="00923BAC">
              <w:t>3</w:t>
            </w:r>
          </w:p>
        </w:tc>
      </w:tr>
      <w:tr w:rsidR="00B918DD" w:rsidRPr="00A45DB0" w14:paraId="6DB5E84B" w14:textId="77777777" w:rsidTr="00376201">
        <w:trPr>
          <w:trHeight w:val="255"/>
        </w:trPr>
        <w:tc>
          <w:tcPr>
            <w:tcW w:w="2308" w:type="dxa"/>
            <w:tcBorders>
              <w:top w:val="single" w:sz="4" w:space="0" w:color="95B3D7"/>
              <w:left w:val="single" w:sz="4" w:space="0" w:color="95B3D7"/>
              <w:bottom w:val="single" w:sz="4" w:space="0" w:color="95B3D7"/>
              <w:right w:val="nil"/>
            </w:tcBorders>
            <w:noWrap/>
            <w:vAlign w:val="bottom"/>
            <w:hideMark/>
          </w:tcPr>
          <w:p w14:paraId="28C0E637" w14:textId="77777777" w:rsidR="00B918DD" w:rsidRPr="00A45DB0" w:rsidRDefault="00B918DD" w:rsidP="00B918DD">
            <w:pPr>
              <w:spacing w:after="0" w:line="240" w:lineRule="auto"/>
              <w:jc w:val="center"/>
              <w:rPr>
                <w:rFonts w:ascii="Tahoma" w:eastAsia="Times New Roman" w:hAnsi="Tahoma" w:cs="Tahoma"/>
                <w:color w:val="000000"/>
                <w:sz w:val="20"/>
                <w:szCs w:val="20"/>
                <w:lang w:eastAsia="pl-PL"/>
              </w:rPr>
            </w:pPr>
            <w:r w:rsidRPr="00A45DB0">
              <w:rPr>
                <w:rFonts w:ascii="Tahoma" w:eastAsia="Times New Roman" w:hAnsi="Tahoma" w:cs="Tahoma"/>
                <w:color w:val="000000"/>
                <w:sz w:val="20"/>
                <w:szCs w:val="20"/>
                <w:lang w:eastAsia="pl-PL"/>
              </w:rPr>
              <w:t>4</w:t>
            </w:r>
          </w:p>
        </w:tc>
        <w:tc>
          <w:tcPr>
            <w:tcW w:w="3636" w:type="dxa"/>
            <w:tcBorders>
              <w:top w:val="single" w:sz="4" w:space="0" w:color="95B3D7"/>
              <w:left w:val="nil"/>
              <w:bottom w:val="single" w:sz="4" w:space="0" w:color="95B3D7"/>
              <w:right w:val="nil"/>
            </w:tcBorders>
            <w:noWrap/>
            <w:hideMark/>
          </w:tcPr>
          <w:p w14:paraId="0B4CA5AC" w14:textId="2A133E1C" w:rsidR="00B918DD" w:rsidRPr="00A45DB0" w:rsidRDefault="00B918DD" w:rsidP="00B918DD">
            <w:pPr>
              <w:spacing w:after="0" w:line="240" w:lineRule="auto"/>
              <w:jc w:val="center"/>
              <w:rPr>
                <w:rFonts w:ascii="Tahoma" w:eastAsia="Times New Roman" w:hAnsi="Tahoma" w:cs="Tahoma"/>
                <w:color w:val="000000"/>
                <w:sz w:val="20"/>
                <w:szCs w:val="20"/>
                <w:lang w:eastAsia="pl-PL"/>
              </w:rPr>
            </w:pPr>
            <w:r w:rsidRPr="00923BAC">
              <w:t>17,6% — 18,8%</w:t>
            </w:r>
          </w:p>
        </w:tc>
        <w:tc>
          <w:tcPr>
            <w:tcW w:w="3036" w:type="dxa"/>
            <w:tcBorders>
              <w:top w:val="single" w:sz="4" w:space="0" w:color="95B3D7"/>
              <w:left w:val="nil"/>
              <w:bottom w:val="single" w:sz="4" w:space="0" w:color="95B3D7"/>
              <w:right w:val="nil"/>
            </w:tcBorders>
            <w:noWrap/>
            <w:hideMark/>
          </w:tcPr>
          <w:p w14:paraId="167C7B39" w14:textId="72EC082E" w:rsidR="00B918DD" w:rsidRPr="00A45DB0" w:rsidRDefault="00B918DD" w:rsidP="00B918DD">
            <w:pPr>
              <w:spacing w:after="0" w:line="240" w:lineRule="auto"/>
              <w:jc w:val="center"/>
              <w:rPr>
                <w:rFonts w:ascii="Tahoma" w:eastAsia="Times New Roman" w:hAnsi="Tahoma" w:cs="Tahoma"/>
                <w:color w:val="000000"/>
                <w:sz w:val="20"/>
                <w:szCs w:val="20"/>
                <w:lang w:eastAsia="pl-PL"/>
              </w:rPr>
            </w:pPr>
            <w:r w:rsidRPr="00923BAC">
              <w:t>375,625</w:t>
            </w:r>
          </w:p>
        </w:tc>
        <w:tc>
          <w:tcPr>
            <w:tcW w:w="3488" w:type="dxa"/>
            <w:tcBorders>
              <w:top w:val="single" w:sz="4" w:space="0" w:color="95B3D7"/>
              <w:left w:val="nil"/>
              <w:bottom w:val="single" w:sz="4" w:space="0" w:color="95B3D7"/>
              <w:right w:val="single" w:sz="4" w:space="0" w:color="95B3D7"/>
            </w:tcBorders>
            <w:noWrap/>
            <w:hideMark/>
          </w:tcPr>
          <w:p w14:paraId="408FF4FA" w14:textId="58AA53B4" w:rsidR="00B918DD" w:rsidRPr="00A45DB0" w:rsidRDefault="00B918DD" w:rsidP="00B918DD">
            <w:pPr>
              <w:spacing w:after="0" w:line="240" w:lineRule="auto"/>
              <w:jc w:val="center"/>
              <w:rPr>
                <w:rFonts w:ascii="Tahoma" w:eastAsia="Times New Roman" w:hAnsi="Tahoma" w:cs="Tahoma"/>
                <w:color w:val="000000"/>
                <w:sz w:val="20"/>
                <w:szCs w:val="20"/>
                <w:lang w:eastAsia="pl-PL"/>
              </w:rPr>
            </w:pPr>
            <w:r w:rsidRPr="00923BAC">
              <w:t>3</w:t>
            </w:r>
          </w:p>
        </w:tc>
      </w:tr>
      <w:tr w:rsidR="00B918DD" w:rsidRPr="00A45DB0" w14:paraId="0A032BFF" w14:textId="77777777" w:rsidTr="00376201">
        <w:trPr>
          <w:trHeight w:val="255"/>
        </w:trPr>
        <w:tc>
          <w:tcPr>
            <w:tcW w:w="2308" w:type="dxa"/>
            <w:tcBorders>
              <w:top w:val="single" w:sz="4" w:space="0" w:color="95B3D7"/>
              <w:left w:val="single" w:sz="4" w:space="0" w:color="95B3D7"/>
              <w:bottom w:val="single" w:sz="4" w:space="0" w:color="95B3D7"/>
              <w:right w:val="nil"/>
            </w:tcBorders>
            <w:shd w:val="clear" w:color="DCE6F1" w:fill="DCE6F1"/>
            <w:noWrap/>
            <w:vAlign w:val="bottom"/>
            <w:hideMark/>
          </w:tcPr>
          <w:p w14:paraId="769D7E67" w14:textId="77777777" w:rsidR="00B918DD" w:rsidRPr="00A45DB0" w:rsidRDefault="00B918DD" w:rsidP="00B918DD">
            <w:pPr>
              <w:spacing w:after="0" w:line="240" w:lineRule="auto"/>
              <w:jc w:val="center"/>
              <w:rPr>
                <w:rFonts w:ascii="Tahoma" w:eastAsia="Times New Roman" w:hAnsi="Tahoma" w:cs="Tahoma"/>
                <w:color w:val="000000"/>
                <w:sz w:val="20"/>
                <w:szCs w:val="20"/>
                <w:lang w:eastAsia="pl-PL"/>
              </w:rPr>
            </w:pPr>
            <w:r w:rsidRPr="00A45DB0">
              <w:rPr>
                <w:rFonts w:ascii="Tahoma" w:eastAsia="Times New Roman" w:hAnsi="Tahoma" w:cs="Tahoma"/>
                <w:color w:val="000000"/>
                <w:sz w:val="20"/>
                <w:szCs w:val="20"/>
                <w:lang w:eastAsia="pl-PL"/>
              </w:rPr>
              <w:t>5</w:t>
            </w:r>
          </w:p>
        </w:tc>
        <w:tc>
          <w:tcPr>
            <w:tcW w:w="3636" w:type="dxa"/>
            <w:tcBorders>
              <w:top w:val="single" w:sz="4" w:space="0" w:color="95B3D7"/>
              <w:left w:val="nil"/>
              <w:bottom w:val="single" w:sz="4" w:space="0" w:color="95B3D7"/>
              <w:right w:val="nil"/>
            </w:tcBorders>
            <w:shd w:val="clear" w:color="DCE6F1" w:fill="DCE6F1"/>
            <w:noWrap/>
            <w:hideMark/>
          </w:tcPr>
          <w:p w14:paraId="13072AAF" w14:textId="2F2BB537" w:rsidR="00B918DD" w:rsidRPr="00A45DB0" w:rsidRDefault="00B918DD" w:rsidP="00B918DD">
            <w:pPr>
              <w:spacing w:after="0" w:line="240" w:lineRule="auto"/>
              <w:jc w:val="center"/>
              <w:rPr>
                <w:rFonts w:ascii="Tahoma" w:eastAsia="Times New Roman" w:hAnsi="Tahoma" w:cs="Tahoma"/>
                <w:color w:val="000000"/>
                <w:sz w:val="20"/>
                <w:szCs w:val="20"/>
                <w:lang w:eastAsia="pl-PL"/>
              </w:rPr>
            </w:pPr>
            <w:r w:rsidRPr="00923BAC">
              <w:t>18,8% — 20,2%</w:t>
            </w:r>
          </w:p>
        </w:tc>
        <w:tc>
          <w:tcPr>
            <w:tcW w:w="3036" w:type="dxa"/>
            <w:tcBorders>
              <w:top w:val="single" w:sz="4" w:space="0" w:color="95B3D7"/>
              <w:left w:val="nil"/>
              <w:bottom w:val="single" w:sz="4" w:space="0" w:color="95B3D7"/>
              <w:right w:val="nil"/>
            </w:tcBorders>
            <w:shd w:val="clear" w:color="DCE6F1" w:fill="DCE6F1"/>
            <w:noWrap/>
            <w:hideMark/>
          </w:tcPr>
          <w:p w14:paraId="14FD3965" w14:textId="69660229" w:rsidR="00B918DD" w:rsidRPr="00A45DB0" w:rsidRDefault="00B918DD" w:rsidP="00B918DD">
            <w:pPr>
              <w:spacing w:after="0" w:line="240" w:lineRule="auto"/>
              <w:jc w:val="center"/>
              <w:rPr>
                <w:rFonts w:ascii="Tahoma" w:eastAsia="Times New Roman" w:hAnsi="Tahoma" w:cs="Tahoma"/>
                <w:color w:val="000000"/>
                <w:sz w:val="20"/>
                <w:szCs w:val="20"/>
                <w:lang w:eastAsia="pl-PL"/>
              </w:rPr>
            </w:pPr>
            <w:r w:rsidRPr="00923BAC">
              <w:t>500,5</w:t>
            </w:r>
          </w:p>
        </w:tc>
        <w:tc>
          <w:tcPr>
            <w:tcW w:w="3488" w:type="dxa"/>
            <w:tcBorders>
              <w:top w:val="single" w:sz="4" w:space="0" w:color="95B3D7"/>
              <w:left w:val="nil"/>
              <w:bottom w:val="single" w:sz="4" w:space="0" w:color="95B3D7"/>
              <w:right w:val="single" w:sz="4" w:space="0" w:color="95B3D7"/>
            </w:tcBorders>
            <w:shd w:val="clear" w:color="DCE6F1" w:fill="DCE6F1"/>
            <w:noWrap/>
            <w:hideMark/>
          </w:tcPr>
          <w:p w14:paraId="518F858C" w14:textId="55908536" w:rsidR="00B918DD" w:rsidRPr="00A45DB0" w:rsidRDefault="00B918DD" w:rsidP="00B918DD">
            <w:pPr>
              <w:spacing w:after="0" w:line="240" w:lineRule="auto"/>
              <w:jc w:val="center"/>
              <w:rPr>
                <w:rFonts w:ascii="Tahoma" w:eastAsia="Times New Roman" w:hAnsi="Tahoma" w:cs="Tahoma"/>
                <w:color w:val="000000"/>
                <w:sz w:val="20"/>
                <w:szCs w:val="20"/>
                <w:lang w:eastAsia="pl-PL"/>
              </w:rPr>
            </w:pPr>
            <w:r w:rsidRPr="00923BAC">
              <w:t>3</w:t>
            </w:r>
          </w:p>
        </w:tc>
      </w:tr>
      <w:tr w:rsidR="00B918DD" w:rsidRPr="00A45DB0" w14:paraId="462D43DC" w14:textId="77777777" w:rsidTr="00376201">
        <w:trPr>
          <w:trHeight w:val="255"/>
        </w:trPr>
        <w:tc>
          <w:tcPr>
            <w:tcW w:w="2308" w:type="dxa"/>
            <w:tcBorders>
              <w:top w:val="single" w:sz="4" w:space="0" w:color="95B3D7"/>
              <w:left w:val="single" w:sz="4" w:space="0" w:color="95B3D7"/>
              <w:bottom w:val="single" w:sz="4" w:space="0" w:color="95B3D7"/>
              <w:right w:val="nil"/>
            </w:tcBorders>
            <w:noWrap/>
            <w:vAlign w:val="bottom"/>
            <w:hideMark/>
          </w:tcPr>
          <w:p w14:paraId="36BB8AD6" w14:textId="77777777" w:rsidR="00B918DD" w:rsidRPr="00A45DB0" w:rsidRDefault="00B918DD" w:rsidP="00B918DD">
            <w:pPr>
              <w:spacing w:after="0" w:line="240" w:lineRule="auto"/>
              <w:jc w:val="center"/>
              <w:rPr>
                <w:rFonts w:ascii="Tahoma" w:eastAsia="Times New Roman" w:hAnsi="Tahoma" w:cs="Tahoma"/>
                <w:color w:val="000000"/>
                <w:sz w:val="20"/>
                <w:szCs w:val="20"/>
                <w:lang w:eastAsia="pl-PL"/>
              </w:rPr>
            </w:pPr>
            <w:r w:rsidRPr="00A45DB0">
              <w:rPr>
                <w:rFonts w:ascii="Tahoma" w:eastAsia="Times New Roman" w:hAnsi="Tahoma" w:cs="Tahoma"/>
                <w:color w:val="000000"/>
                <w:sz w:val="20"/>
                <w:szCs w:val="20"/>
                <w:lang w:eastAsia="pl-PL"/>
              </w:rPr>
              <w:t>6</w:t>
            </w:r>
          </w:p>
        </w:tc>
        <w:tc>
          <w:tcPr>
            <w:tcW w:w="3636" w:type="dxa"/>
            <w:tcBorders>
              <w:top w:val="single" w:sz="4" w:space="0" w:color="95B3D7"/>
              <w:left w:val="nil"/>
              <w:bottom w:val="single" w:sz="4" w:space="0" w:color="95B3D7"/>
              <w:right w:val="nil"/>
            </w:tcBorders>
            <w:noWrap/>
            <w:hideMark/>
          </w:tcPr>
          <w:p w14:paraId="53CA0C3B" w14:textId="2BFAD3B7" w:rsidR="00B918DD" w:rsidRPr="00A45DB0" w:rsidRDefault="00B918DD" w:rsidP="00B918DD">
            <w:pPr>
              <w:spacing w:after="0" w:line="240" w:lineRule="auto"/>
              <w:jc w:val="center"/>
              <w:rPr>
                <w:rFonts w:ascii="Tahoma" w:eastAsia="Times New Roman" w:hAnsi="Tahoma" w:cs="Tahoma"/>
                <w:color w:val="000000"/>
                <w:sz w:val="20"/>
                <w:szCs w:val="20"/>
                <w:lang w:eastAsia="pl-PL"/>
              </w:rPr>
            </w:pPr>
            <w:r w:rsidRPr="00923BAC">
              <w:t>20,2% — 22,0%</w:t>
            </w:r>
          </w:p>
        </w:tc>
        <w:tc>
          <w:tcPr>
            <w:tcW w:w="3036" w:type="dxa"/>
            <w:tcBorders>
              <w:top w:val="single" w:sz="4" w:space="0" w:color="95B3D7"/>
              <w:left w:val="nil"/>
              <w:bottom w:val="single" w:sz="4" w:space="0" w:color="95B3D7"/>
              <w:right w:val="nil"/>
            </w:tcBorders>
            <w:noWrap/>
            <w:hideMark/>
          </w:tcPr>
          <w:p w14:paraId="09442122" w14:textId="15FA92C8" w:rsidR="00B918DD" w:rsidRPr="00A45DB0" w:rsidRDefault="00B918DD" w:rsidP="00B918DD">
            <w:pPr>
              <w:spacing w:after="0" w:line="240" w:lineRule="auto"/>
              <w:jc w:val="center"/>
              <w:rPr>
                <w:rFonts w:ascii="Tahoma" w:eastAsia="Times New Roman" w:hAnsi="Tahoma" w:cs="Tahoma"/>
                <w:color w:val="000000"/>
                <w:sz w:val="20"/>
                <w:szCs w:val="20"/>
                <w:lang w:eastAsia="pl-PL"/>
              </w:rPr>
            </w:pPr>
            <w:r w:rsidRPr="00923BAC">
              <w:t>625,375</w:t>
            </w:r>
          </w:p>
        </w:tc>
        <w:tc>
          <w:tcPr>
            <w:tcW w:w="3488" w:type="dxa"/>
            <w:tcBorders>
              <w:top w:val="single" w:sz="4" w:space="0" w:color="95B3D7"/>
              <w:left w:val="nil"/>
              <w:bottom w:val="single" w:sz="4" w:space="0" w:color="95B3D7"/>
              <w:right w:val="single" w:sz="4" w:space="0" w:color="95B3D7"/>
            </w:tcBorders>
            <w:noWrap/>
            <w:hideMark/>
          </w:tcPr>
          <w:p w14:paraId="15B7C5D5" w14:textId="000800D8" w:rsidR="00B918DD" w:rsidRPr="00A45DB0" w:rsidRDefault="00B918DD" w:rsidP="00B918DD">
            <w:pPr>
              <w:spacing w:after="0" w:line="240" w:lineRule="auto"/>
              <w:jc w:val="center"/>
              <w:rPr>
                <w:rFonts w:ascii="Tahoma" w:eastAsia="Times New Roman" w:hAnsi="Tahoma" w:cs="Tahoma"/>
                <w:color w:val="000000"/>
                <w:sz w:val="20"/>
                <w:szCs w:val="20"/>
                <w:lang w:eastAsia="pl-PL"/>
              </w:rPr>
            </w:pPr>
            <w:r w:rsidRPr="00923BAC">
              <w:t>3</w:t>
            </w:r>
          </w:p>
        </w:tc>
      </w:tr>
      <w:tr w:rsidR="00B918DD" w:rsidRPr="00A45DB0" w14:paraId="28D7DEC6" w14:textId="77777777" w:rsidTr="00376201">
        <w:trPr>
          <w:trHeight w:val="255"/>
        </w:trPr>
        <w:tc>
          <w:tcPr>
            <w:tcW w:w="2308" w:type="dxa"/>
            <w:tcBorders>
              <w:top w:val="single" w:sz="4" w:space="0" w:color="95B3D7"/>
              <w:left w:val="single" w:sz="4" w:space="0" w:color="95B3D7"/>
              <w:bottom w:val="single" w:sz="4" w:space="0" w:color="95B3D7"/>
              <w:right w:val="nil"/>
            </w:tcBorders>
            <w:shd w:val="clear" w:color="DCE6F1" w:fill="DCE6F1"/>
            <w:noWrap/>
            <w:vAlign w:val="bottom"/>
            <w:hideMark/>
          </w:tcPr>
          <w:p w14:paraId="519133B3" w14:textId="77777777" w:rsidR="00B918DD" w:rsidRPr="00A45DB0" w:rsidRDefault="00B918DD" w:rsidP="00B918DD">
            <w:pPr>
              <w:spacing w:after="0" w:line="240" w:lineRule="auto"/>
              <w:jc w:val="center"/>
              <w:rPr>
                <w:rFonts w:ascii="Tahoma" w:eastAsia="Times New Roman" w:hAnsi="Tahoma" w:cs="Tahoma"/>
                <w:color w:val="000000"/>
                <w:sz w:val="20"/>
                <w:szCs w:val="20"/>
                <w:lang w:eastAsia="pl-PL"/>
              </w:rPr>
            </w:pPr>
            <w:r w:rsidRPr="00A45DB0">
              <w:rPr>
                <w:rFonts w:ascii="Tahoma" w:eastAsia="Times New Roman" w:hAnsi="Tahoma" w:cs="Tahoma"/>
                <w:color w:val="000000"/>
                <w:sz w:val="20"/>
                <w:szCs w:val="20"/>
                <w:lang w:eastAsia="pl-PL"/>
              </w:rPr>
              <w:t>7</w:t>
            </w:r>
          </w:p>
        </w:tc>
        <w:tc>
          <w:tcPr>
            <w:tcW w:w="3636" w:type="dxa"/>
            <w:tcBorders>
              <w:top w:val="single" w:sz="4" w:space="0" w:color="95B3D7"/>
              <w:left w:val="nil"/>
              <w:bottom w:val="single" w:sz="4" w:space="0" w:color="95B3D7"/>
              <w:right w:val="nil"/>
            </w:tcBorders>
            <w:shd w:val="clear" w:color="DCE6F1" w:fill="DCE6F1"/>
            <w:noWrap/>
            <w:hideMark/>
          </w:tcPr>
          <w:p w14:paraId="4A793FA1" w14:textId="162547B5" w:rsidR="00B918DD" w:rsidRPr="00A45DB0" w:rsidRDefault="00B918DD" w:rsidP="00B918DD">
            <w:pPr>
              <w:spacing w:after="0" w:line="240" w:lineRule="auto"/>
              <w:jc w:val="center"/>
              <w:rPr>
                <w:rFonts w:ascii="Tahoma" w:eastAsia="Times New Roman" w:hAnsi="Tahoma" w:cs="Tahoma"/>
                <w:color w:val="000000"/>
                <w:sz w:val="20"/>
                <w:szCs w:val="20"/>
                <w:lang w:eastAsia="pl-PL"/>
              </w:rPr>
            </w:pPr>
            <w:r w:rsidRPr="00923BAC">
              <w:t>22,0% — 34,6%</w:t>
            </w:r>
          </w:p>
        </w:tc>
        <w:tc>
          <w:tcPr>
            <w:tcW w:w="3036" w:type="dxa"/>
            <w:tcBorders>
              <w:top w:val="single" w:sz="4" w:space="0" w:color="95B3D7"/>
              <w:left w:val="nil"/>
              <w:bottom w:val="single" w:sz="4" w:space="0" w:color="95B3D7"/>
              <w:right w:val="nil"/>
            </w:tcBorders>
            <w:shd w:val="clear" w:color="DCE6F1" w:fill="DCE6F1"/>
            <w:noWrap/>
            <w:hideMark/>
          </w:tcPr>
          <w:p w14:paraId="288AE905" w14:textId="448EE398" w:rsidR="00B918DD" w:rsidRPr="00A45DB0" w:rsidRDefault="00B918DD" w:rsidP="00B918DD">
            <w:pPr>
              <w:spacing w:after="0" w:line="240" w:lineRule="auto"/>
              <w:jc w:val="center"/>
              <w:rPr>
                <w:rFonts w:ascii="Tahoma" w:eastAsia="Times New Roman" w:hAnsi="Tahoma" w:cs="Tahoma"/>
                <w:color w:val="000000"/>
                <w:sz w:val="20"/>
                <w:szCs w:val="20"/>
                <w:lang w:eastAsia="pl-PL"/>
              </w:rPr>
            </w:pPr>
            <w:r w:rsidRPr="00923BAC">
              <w:t>750,25</w:t>
            </w:r>
          </w:p>
        </w:tc>
        <w:tc>
          <w:tcPr>
            <w:tcW w:w="3488" w:type="dxa"/>
            <w:tcBorders>
              <w:top w:val="single" w:sz="4" w:space="0" w:color="95B3D7"/>
              <w:left w:val="nil"/>
              <w:bottom w:val="single" w:sz="4" w:space="0" w:color="95B3D7"/>
              <w:right w:val="single" w:sz="4" w:space="0" w:color="95B3D7"/>
            </w:tcBorders>
            <w:shd w:val="clear" w:color="DCE6F1" w:fill="DCE6F1"/>
            <w:noWrap/>
            <w:hideMark/>
          </w:tcPr>
          <w:p w14:paraId="741A1D03" w14:textId="72234CCC" w:rsidR="00B918DD" w:rsidRPr="00A45DB0" w:rsidRDefault="00B918DD" w:rsidP="00B918DD">
            <w:pPr>
              <w:spacing w:after="0" w:line="240" w:lineRule="auto"/>
              <w:jc w:val="center"/>
              <w:rPr>
                <w:rFonts w:ascii="Tahoma" w:eastAsia="Times New Roman" w:hAnsi="Tahoma" w:cs="Tahoma"/>
                <w:color w:val="000000"/>
                <w:sz w:val="20"/>
                <w:szCs w:val="20"/>
                <w:lang w:eastAsia="pl-PL"/>
              </w:rPr>
            </w:pPr>
            <w:r w:rsidRPr="00923BAC">
              <w:t>3</w:t>
            </w:r>
          </w:p>
        </w:tc>
      </w:tr>
      <w:tr w:rsidR="00B918DD" w:rsidRPr="00A45DB0" w14:paraId="69CF78AB" w14:textId="77777777" w:rsidTr="00376201">
        <w:trPr>
          <w:trHeight w:val="255"/>
        </w:trPr>
        <w:tc>
          <w:tcPr>
            <w:tcW w:w="2308" w:type="dxa"/>
            <w:tcBorders>
              <w:top w:val="single" w:sz="4" w:space="0" w:color="95B3D7"/>
              <w:left w:val="single" w:sz="4" w:space="0" w:color="95B3D7"/>
              <w:bottom w:val="single" w:sz="4" w:space="0" w:color="95B3D7"/>
              <w:right w:val="nil"/>
            </w:tcBorders>
            <w:noWrap/>
            <w:vAlign w:val="bottom"/>
            <w:hideMark/>
          </w:tcPr>
          <w:p w14:paraId="7C8A0DF2" w14:textId="77777777" w:rsidR="00B918DD" w:rsidRPr="00A45DB0" w:rsidRDefault="00B918DD" w:rsidP="00B918DD">
            <w:pPr>
              <w:spacing w:after="0" w:line="240" w:lineRule="auto"/>
              <w:jc w:val="center"/>
              <w:rPr>
                <w:rFonts w:ascii="Tahoma" w:eastAsia="Times New Roman" w:hAnsi="Tahoma" w:cs="Tahoma"/>
                <w:color w:val="000000"/>
                <w:sz w:val="20"/>
                <w:szCs w:val="20"/>
                <w:lang w:eastAsia="pl-PL"/>
              </w:rPr>
            </w:pPr>
            <w:r w:rsidRPr="00A45DB0">
              <w:rPr>
                <w:rFonts w:ascii="Tahoma" w:eastAsia="Times New Roman" w:hAnsi="Tahoma" w:cs="Tahoma"/>
                <w:color w:val="000000"/>
                <w:sz w:val="20"/>
                <w:szCs w:val="20"/>
                <w:lang w:eastAsia="pl-PL"/>
              </w:rPr>
              <w:t>8</w:t>
            </w:r>
          </w:p>
        </w:tc>
        <w:tc>
          <w:tcPr>
            <w:tcW w:w="3636" w:type="dxa"/>
            <w:tcBorders>
              <w:top w:val="single" w:sz="4" w:space="0" w:color="95B3D7"/>
              <w:left w:val="nil"/>
              <w:bottom w:val="single" w:sz="4" w:space="0" w:color="95B3D7"/>
              <w:right w:val="nil"/>
            </w:tcBorders>
            <w:noWrap/>
            <w:hideMark/>
          </w:tcPr>
          <w:p w14:paraId="5745E9B5" w14:textId="4F55084C" w:rsidR="00B918DD" w:rsidRPr="00A45DB0" w:rsidRDefault="00B918DD" w:rsidP="00B918DD">
            <w:pPr>
              <w:spacing w:after="0" w:line="240" w:lineRule="auto"/>
              <w:jc w:val="center"/>
              <w:rPr>
                <w:rFonts w:ascii="Tahoma" w:eastAsia="Times New Roman" w:hAnsi="Tahoma" w:cs="Tahoma"/>
                <w:color w:val="000000"/>
                <w:sz w:val="20"/>
                <w:szCs w:val="20"/>
                <w:lang w:eastAsia="pl-PL"/>
              </w:rPr>
            </w:pPr>
            <w:r w:rsidRPr="00923BAC">
              <w:t>34,6% — 51,6%</w:t>
            </w:r>
          </w:p>
        </w:tc>
        <w:tc>
          <w:tcPr>
            <w:tcW w:w="3036" w:type="dxa"/>
            <w:tcBorders>
              <w:top w:val="single" w:sz="4" w:space="0" w:color="95B3D7"/>
              <w:left w:val="nil"/>
              <w:bottom w:val="single" w:sz="4" w:space="0" w:color="95B3D7"/>
              <w:right w:val="nil"/>
            </w:tcBorders>
            <w:noWrap/>
            <w:hideMark/>
          </w:tcPr>
          <w:p w14:paraId="3023BB11" w14:textId="17B07B68" w:rsidR="00B918DD" w:rsidRPr="00A45DB0" w:rsidRDefault="00B918DD" w:rsidP="00B918DD">
            <w:pPr>
              <w:spacing w:after="0" w:line="240" w:lineRule="auto"/>
              <w:jc w:val="center"/>
              <w:rPr>
                <w:rFonts w:ascii="Tahoma" w:eastAsia="Times New Roman" w:hAnsi="Tahoma" w:cs="Tahoma"/>
                <w:color w:val="000000"/>
                <w:sz w:val="20"/>
                <w:szCs w:val="20"/>
                <w:lang w:eastAsia="pl-PL"/>
              </w:rPr>
            </w:pPr>
            <w:r w:rsidRPr="00923BAC">
              <w:t>875,125</w:t>
            </w:r>
          </w:p>
        </w:tc>
        <w:tc>
          <w:tcPr>
            <w:tcW w:w="3488" w:type="dxa"/>
            <w:tcBorders>
              <w:top w:val="single" w:sz="4" w:space="0" w:color="95B3D7"/>
              <w:left w:val="nil"/>
              <w:bottom w:val="single" w:sz="4" w:space="0" w:color="95B3D7"/>
              <w:right w:val="single" w:sz="4" w:space="0" w:color="95B3D7"/>
            </w:tcBorders>
            <w:noWrap/>
            <w:hideMark/>
          </w:tcPr>
          <w:p w14:paraId="65CC4DBF" w14:textId="4FDDB5CC" w:rsidR="00B918DD" w:rsidRPr="00A45DB0" w:rsidRDefault="00B918DD" w:rsidP="00B918DD">
            <w:pPr>
              <w:spacing w:after="0" w:line="240" w:lineRule="auto"/>
              <w:jc w:val="center"/>
              <w:rPr>
                <w:rFonts w:ascii="Tahoma" w:eastAsia="Times New Roman" w:hAnsi="Tahoma" w:cs="Tahoma"/>
                <w:color w:val="000000"/>
                <w:sz w:val="20"/>
                <w:szCs w:val="20"/>
                <w:lang w:eastAsia="pl-PL"/>
              </w:rPr>
            </w:pPr>
            <w:r w:rsidRPr="00923BAC">
              <w:t>2</w:t>
            </w:r>
          </w:p>
        </w:tc>
      </w:tr>
      <w:tr w:rsidR="00B918DD" w:rsidRPr="00A45DB0" w14:paraId="5A178678" w14:textId="77777777" w:rsidTr="00376201">
        <w:trPr>
          <w:trHeight w:val="255"/>
        </w:trPr>
        <w:tc>
          <w:tcPr>
            <w:tcW w:w="2308" w:type="dxa"/>
            <w:tcBorders>
              <w:top w:val="single" w:sz="4" w:space="0" w:color="95B3D7"/>
              <w:left w:val="single" w:sz="4" w:space="0" w:color="95B3D7"/>
              <w:bottom w:val="single" w:sz="4" w:space="0" w:color="95B3D7"/>
              <w:right w:val="nil"/>
            </w:tcBorders>
            <w:shd w:val="clear" w:color="DCE6F1" w:fill="DCE6F1"/>
            <w:noWrap/>
            <w:vAlign w:val="bottom"/>
            <w:hideMark/>
          </w:tcPr>
          <w:p w14:paraId="5755219E" w14:textId="77777777" w:rsidR="00B918DD" w:rsidRPr="00A45DB0" w:rsidRDefault="00B918DD" w:rsidP="00B918DD">
            <w:pPr>
              <w:spacing w:after="0" w:line="240" w:lineRule="auto"/>
              <w:jc w:val="center"/>
              <w:rPr>
                <w:rFonts w:ascii="Tahoma" w:eastAsia="Times New Roman" w:hAnsi="Tahoma" w:cs="Tahoma"/>
                <w:color w:val="000000"/>
                <w:sz w:val="20"/>
                <w:szCs w:val="20"/>
                <w:lang w:eastAsia="pl-PL"/>
              </w:rPr>
            </w:pPr>
            <w:r w:rsidRPr="00A45DB0">
              <w:rPr>
                <w:rFonts w:ascii="Tahoma" w:eastAsia="Times New Roman" w:hAnsi="Tahoma" w:cs="Tahoma"/>
                <w:color w:val="000000"/>
                <w:sz w:val="20"/>
                <w:szCs w:val="20"/>
                <w:lang w:eastAsia="pl-PL"/>
              </w:rPr>
              <w:t>9</w:t>
            </w:r>
          </w:p>
        </w:tc>
        <w:tc>
          <w:tcPr>
            <w:tcW w:w="3636" w:type="dxa"/>
            <w:tcBorders>
              <w:top w:val="single" w:sz="4" w:space="0" w:color="95B3D7"/>
              <w:left w:val="nil"/>
              <w:bottom w:val="single" w:sz="4" w:space="0" w:color="95B3D7"/>
              <w:right w:val="nil"/>
            </w:tcBorders>
            <w:shd w:val="clear" w:color="DCE6F1" w:fill="DCE6F1"/>
            <w:noWrap/>
            <w:hideMark/>
          </w:tcPr>
          <w:p w14:paraId="77F7A102" w14:textId="5925E81D" w:rsidR="00B918DD" w:rsidRPr="00A45DB0" w:rsidRDefault="00B918DD" w:rsidP="00B918DD">
            <w:pPr>
              <w:spacing w:after="0" w:line="240" w:lineRule="auto"/>
              <w:jc w:val="center"/>
              <w:rPr>
                <w:rFonts w:ascii="Tahoma" w:eastAsia="Times New Roman" w:hAnsi="Tahoma" w:cs="Tahoma"/>
                <w:color w:val="000000"/>
                <w:sz w:val="20"/>
                <w:szCs w:val="20"/>
                <w:lang w:eastAsia="pl-PL"/>
              </w:rPr>
            </w:pPr>
            <w:r w:rsidRPr="00923BAC">
              <w:t xml:space="preserve">51,6% — </w:t>
            </w:r>
          </w:p>
        </w:tc>
        <w:tc>
          <w:tcPr>
            <w:tcW w:w="3036" w:type="dxa"/>
            <w:tcBorders>
              <w:top w:val="single" w:sz="4" w:space="0" w:color="95B3D7"/>
              <w:left w:val="nil"/>
              <w:bottom w:val="single" w:sz="4" w:space="0" w:color="95B3D7"/>
              <w:right w:val="nil"/>
            </w:tcBorders>
            <w:shd w:val="clear" w:color="DCE6F1" w:fill="DCE6F1"/>
            <w:noWrap/>
            <w:hideMark/>
          </w:tcPr>
          <w:p w14:paraId="71E8B82B" w14:textId="1335CB01" w:rsidR="00B918DD" w:rsidRPr="00A45DB0" w:rsidRDefault="00B918DD" w:rsidP="00B918DD">
            <w:pPr>
              <w:spacing w:after="0" w:line="240" w:lineRule="auto"/>
              <w:jc w:val="center"/>
              <w:rPr>
                <w:rFonts w:ascii="Tahoma" w:eastAsia="Times New Roman" w:hAnsi="Tahoma" w:cs="Tahoma"/>
                <w:color w:val="000000"/>
                <w:sz w:val="20"/>
                <w:szCs w:val="20"/>
                <w:lang w:eastAsia="pl-PL"/>
              </w:rPr>
            </w:pPr>
            <w:r w:rsidRPr="00923BAC">
              <w:t>1000</w:t>
            </w:r>
          </w:p>
        </w:tc>
        <w:tc>
          <w:tcPr>
            <w:tcW w:w="3488" w:type="dxa"/>
            <w:tcBorders>
              <w:top w:val="single" w:sz="4" w:space="0" w:color="95B3D7"/>
              <w:left w:val="nil"/>
              <w:bottom w:val="single" w:sz="4" w:space="0" w:color="95B3D7"/>
              <w:right w:val="single" w:sz="4" w:space="0" w:color="95B3D7"/>
            </w:tcBorders>
            <w:shd w:val="clear" w:color="DCE6F1" w:fill="DCE6F1"/>
            <w:noWrap/>
            <w:hideMark/>
          </w:tcPr>
          <w:p w14:paraId="07EE3FF0" w14:textId="18C75AAB" w:rsidR="00B918DD" w:rsidRPr="00A45DB0" w:rsidRDefault="00B918DD" w:rsidP="00B918DD">
            <w:pPr>
              <w:spacing w:after="0" w:line="240" w:lineRule="auto"/>
              <w:jc w:val="center"/>
              <w:rPr>
                <w:rFonts w:ascii="Tahoma" w:eastAsia="Times New Roman" w:hAnsi="Tahoma" w:cs="Tahoma"/>
                <w:color w:val="000000"/>
                <w:sz w:val="20"/>
                <w:szCs w:val="20"/>
                <w:lang w:eastAsia="pl-PL"/>
              </w:rPr>
            </w:pPr>
            <w:r w:rsidRPr="00923BAC">
              <w:t>2</w:t>
            </w:r>
          </w:p>
        </w:tc>
      </w:tr>
    </w:tbl>
    <w:p w14:paraId="47EE4CF9" w14:textId="77777777" w:rsidR="004173AB" w:rsidRDefault="004173AB" w:rsidP="00A730BE">
      <w:pPr>
        <w:rPr>
          <w:rFonts w:cstheme="minorHAnsi"/>
          <w:highlight w:val="yellow"/>
        </w:rPr>
      </w:pPr>
    </w:p>
    <w:p w14:paraId="0E21579B" w14:textId="766CD32D" w:rsidR="00A730BE" w:rsidRPr="00C75DD7" w:rsidRDefault="00636D4B" w:rsidP="00A730BE">
      <w:pPr>
        <w:rPr>
          <w:rFonts w:cstheme="minorHAnsi"/>
        </w:rPr>
      </w:pPr>
      <w:r w:rsidRPr="00C75DD7">
        <w:rPr>
          <w:rFonts w:cstheme="minorHAnsi"/>
        </w:rPr>
        <w:tab/>
      </w:r>
    </w:p>
    <w:p w14:paraId="302A9A65" w14:textId="77777777" w:rsidR="00636D4B" w:rsidRPr="00C75DD7" w:rsidRDefault="0053756E" w:rsidP="00244D55">
      <w:pPr>
        <w:keepNext/>
        <w:shd w:val="clear" w:color="auto" w:fill="FFFFFF"/>
        <w:spacing w:before="312" w:after="120" w:line="240" w:lineRule="auto"/>
        <w:rPr>
          <w:rFonts w:eastAsia="Times New Roman" w:cstheme="minorHAnsi"/>
          <w:b/>
          <w:iCs/>
          <w:color w:val="000000"/>
          <w:szCs w:val="20"/>
          <w:lang w:eastAsia="pl-PL"/>
        </w:rPr>
      </w:pPr>
      <w:r w:rsidRPr="00C75DD7">
        <w:rPr>
          <w:rFonts w:eastAsia="Times New Roman" w:cstheme="minorHAnsi"/>
          <w:b/>
          <w:iCs/>
          <w:color w:val="000000"/>
          <w:szCs w:val="20"/>
          <w:lang w:eastAsia="pl-PL"/>
        </w:rPr>
        <w:lastRenderedPageBreak/>
        <w:t>Łączna kwota ekspozycji na ryzyko podzielona przez aktywa ogółem</w:t>
      </w:r>
    </w:p>
    <w:p w14:paraId="6EC3181D" w14:textId="77777777" w:rsidR="004173AB" w:rsidRDefault="004173AB" w:rsidP="00A730BE">
      <w:pPr>
        <w:spacing w:after="0"/>
        <w:rPr>
          <w:rFonts w:cstheme="minorHAnsi"/>
        </w:rPr>
      </w:pPr>
    </w:p>
    <w:tbl>
      <w:tblPr>
        <w:tblW w:w="12468" w:type="dxa"/>
        <w:tblCellMar>
          <w:left w:w="70" w:type="dxa"/>
          <w:right w:w="70" w:type="dxa"/>
        </w:tblCellMar>
        <w:tblLook w:val="04A0" w:firstRow="1" w:lastRow="0" w:firstColumn="1" w:lastColumn="0" w:noHBand="0" w:noVBand="1"/>
      </w:tblPr>
      <w:tblGrid>
        <w:gridCol w:w="2308"/>
        <w:gridCol w:w="3636"/>
        <w:gridCol w:w="3036"/>
        <w:gridCol w:w="3488"/>
      </w:tblGrid>
      <w:tr w:rsidR="00A45DB0" w:rsidRPr="00A45DB0" w14:paraId="50B80F46" w14:textId="77777777" w:rsidTr="00A45DB0">
        <w:trPr>
          <w:trHeight w:val="255"/>
        </w:trPr>
        <w:tc>
          <w:tcPr>
            <w:tcW w:w="2308" w:type="dxa"/>
            <w:tcBorders>
              <w:top w:val="single" w:sz="4" w:space="0" w:color="95B3D7"/>
              <w:left w:val="single" w:sz="4" w:space="0" w:color="95B3D7"/>
              <w:bottom w:val="single" w:sz="4" w:space="0" w:color="95B3D7"/>
              <w:right w:val="nil"/>
            </w:tcBorders>
            <w:shd w:val="clear" w:color="4F81BD" w:fill="4F81BD"/>
            <w:noWrap/>
            <w:vAlign w:val="bottom"/>
            <w:hideMark/>
          </w:tcPr>
          <w:p w14:paraId="77C0FCD6" w14:textId="77777777" w:rsidR="00A45DB0" w:rsidRPr="00A45DB0" w:rsidRDefault="00A45DB0" w:rsidP="00A45DB0">
            <w:pPr>
              <w:spacing w:after="0" w:line="240" w:lineRule="auto"/>
              <w:jc w:val="center"/>
              <w:rPr>
                <w:rFonts w:ascii="Tahoma" w:eastAsia="Times New Roman" w:hAnsi="Tahoma" w:cs="Tahoma"/>
                <w:b/>
                <w:bCs/>
                <w:color w:val="FFFFFF"/>
                <w:sz w:val="20"/>
                <w:szCs w:val="20"/>
                <w:lang w:eastAsia="pl-PL"/>
              </w:rPr>
            </w:pPr>
            <w:r w:rsidRPr="00A45DB0">
              <w:rPr>
                <w:rFonts w:ascii="Tahoma" w:eastAsia="Times New Roman" w:hAnsi="Tahoma" w:cs="Tahoma"/>
                <w:b/>
                <w:bCs/>
                <w:color w:val="FFFFFF"/>
                <w:sz w:val="20"/>
                <w:szCs w:val="20"/>
                <w:lang w:eastAsia="pl-PL"/>
              </w:rPr>
              <w:t>Numer przedziału</w:t>
            </w:r>
          </w:p>
        </w:tc>
        <w:tc>
          <w:tcPr>
            <w:tcW w:w="3636" w:type="dxa"/>
            <w:tcBorders>
              <w:top w:val="single" w:sz="4" w:space="0" w:color="95B3D7"/>
              <w:left w:val="nil"/>
              <w:bottom w:val="single" w:sz="4" w:space="0" w:color="95B3D7"/>
              <w:right w:val="nil"/>
            </w:tcBorders>
            <w:shd w:val="clear" w:color="4F81BD" w:fill="4F81BD"/>
            <w:noWrap/>
            <w:vAlign w:val="bottom"/>
            <w:hideMark/>
          </w:tcPr>
          <w:p w14:paraId="41B09F71" w14:textId="77777777" w:rsidR="00A45DB0" w:rsidRPr="00A45DB0" w:rsidRDefault="00A45DB0" w:rsidP="00A45DB0">
            <w:pPr>
              <w:spacing w:after="0" w:line="240" w:lineRule="auto"/>
              <w:jc w:val="center"/>
              <w:rPr>
                <w:rFonts w:ascii="Tahoma" w:eastAsia="Times New Roman" w:hAnsi="Tahoma" w:cs="Tahoma"/>
                <w:b/>
                <w:bCs/>
                <w:color w:val="FFFFFF"/>
                <w:sz w:val="20"/>
                <w:szCs w:val="20"/>
                <w:lang w:eastAsia="pl-PL"/>
              </w:rPr>
            </w:pPr>
            <w:r w:rsidRPr="00A45DB0">
              <w:rPr>
                <w:rFonts w:ascii="Tahoma" w:eastAsia="Times New Roman" w:hAnsi="Tahoma" w:cs="Tahoma"/>
                <w:b/>
                <w:bCs/>
                <w:color w:val="FFFFFF"/>
                <w:sz w:val="20"/>
                <w:szCs w:val="20"/>
                <w:lang w:eastAsia="pl-PL"/>
              </w:rPr>
              <w:t>Przedziały wartości wskaźnika</w:t>
            </w:r>
          </w:p>
        </w:tc>
        <w:tc>
          <w:tcPr>
            <w:tcW w:w="3036" w:type="dxa"/>
            <w:tcBorders>
              <w:top w:val="single" w:sz="4" w:space="0" w:color="95B3D7"/>
              <w:left w:val="nil"/>
              <w:bottom w:val="single" w:sz="4" w:space="0" w:color="95B3D7"/>
              <w:right w:val="nil"/>
            </w:tcBorders>
            <w:shd w:val="clear" w:color="4F81BD" w:fill="4F81BD"/>
            <w:noWrap/>
            <w:vAlign w:val="bottom"/>
            <w:hideMark/>
          </w:tcPr>
          <w:p w14:paraId="2FE19C13" w14:textId="77777777" w:rsidR="00A45DB0" w:rsidRPr="00A45DB0" w:rsidRDefault="00A45DB0" w:rsidP="00A45DB0">
            <w:pPr>
              <w:spacing w:after="0" w:line="240" w:lineRule="auto"/>
              <w:jc w:val="center"/>
              <w:rPr>
                <w:rFonts w:ascii="Tahoma" w:eastAsia="Times New Roman" w:hAnsi="Tahoma" w:cs="Tahoma"/>
                <w:b/>
                <w:bCs/>
                <w:color w:val="FFFFFF"/>
                <w:sz w:val="20"/>
                <w:szCs w:val="20"/>
                <w:lang w:eastAsia="pl-PL"/>
              </w:rPr>
            </w:pPr>
            <w:r w:rsidRPr="00A45DB0">
              <w:rPr>
                <w:rFonts w:ascii="Tahoma" w:eastAsia="Times New Roman" w:hAnsi="Tahoma" w:cs="Tahoma"/>
                <w:b/>
                <w:bCs/>
                <w:color w:val="FFFFFF"/>
                <w:sz w:val="20"/>
                <w:szCs w:val="20"/>
                <w:lang w:eastAsia="pl-PL"/>
              </w:rPr>
              <w:t>Ocena ryzyka przedziału</w:t>
            </w:r>
          </w:p>
        </w:tc>
        <w:tc>
          <w:tcPr>
            <w:tcW w:w="3488" w:type="dxa"/>
            <w:tcBorders>
              <w:top w:val="single" w:sz="4" w:space="0" w:color="95B3D7"/>
              <w:left w:val="nil"/>
              <w:bottom w:val="single" w:sz="4" w:space="0" w:color="95B3D7"/>
              <w:right w:val="single" w:sz="4" w:space="0" w:color="95B3D7"/>
            </w:tcBorders>
            <w:shd w:val="clear" w:color="4F81BD" w:fill="4F81BD"/>
            <w:noWrap/>
            <w:vAlign w:val="bottom"/>
            <w:hideMark/>
          </w:tcPr>
          <w:p w14:paraId="7D2D5F90" w14:textId="77777777" w:rsidR="00A45DB0" w:rsidRPr="00A45DB0" w:rsidRDefault="00A45DB0" w:rsidP="00A45DB0">
            <w:pPr>
              <w:spacing w:after="0" w:line="240" w:lineRule="auto"/>
              <w:jc w:val="center"/>
              <w:rPr>
                <w:rFonts w:ascii="Tahoma" w:eastAsia="Times New Roman" w:hAnsi="Tahoma" w:cs="Tahoma"/>
                <w:b/>
                <w:bCs/>
                <w:color w:val="FFFFFF"/>
                <w:sz w:val="20"/>
                <w:szCs w:val="20"/>
                <w:lang w:eastAsia="pl-PL"/>
              </w:rPr>
            </w:pPr>
            <w:r w:rsidRPr="00A45DB0">
              <w:rPr>
                <w:rFonts w:ascii="Tahoma" w:eastAsia="Times New Roman" w:hAnsi="Tahoma" w:cs="Tahoma"/>
                <w:b/>
                <w:bCs/>
                <w:color w:val="FFFFFF"/>
                <w:sz w:val="20"/>
                <w:szCs w:val="20"/>
                <w:lang w:eastAsia="pl-PL"/>
              </w:rPr>
              <w:t>Liczba instytucji w przedziale</w:t>
            </w:r>
          </w:p>
        </w:tc>
      </w:tr>
      <w:tr w:rsidR="00B918DD" w:rsidRPr="00A45DB0" w14:paraId="3376C1DF" w14:textId="77777777" w:rsidTr="00284CCB">
        <w:trPr>
          <w:trHeight w:val="255"/>
        </w:trPr>
        <w:tc>
          <w:tcPr>
            <w:tcW w:w="2308" w:type="dxa"/>
            <w:tcBorders>
              <w:top w:val="single" w:sz="4" w:space="0" w:color="95B3D7"/>
              <w:left w:val="single" w:sz="4" w:space="0" w:color="95B3D7"/>
              <w:bottom w:val="single" w:sz="4" w:space="0" w:color="95B3D7"/>
              <w:right w:val="nil"/>
            </w:tcBorders>
            <w:shd w:val="clear" w:color="DCE6F1" w:fill="DCE6F1"/>
            <w:noWrap/>
            <w:vAlign w:val="bottom"/>
            <w:hideMark/>
          </w:tcPr>
          <w:p w14:paraId="402EC2ED" w14:textId="77777777" w:rsidR="00B918DD" w:rsidRPr="00A45DB0" w:rsidRDefault="00B918DD" w:rsidP="00B918DD">
            <w:pPr>
              <w:spacing w:after="0" w:line="240" w:lineRule="auto"/>
              <w:jc w:val="center"/>
              <w:rPr>
                <w:rFonts w:ascii="Tahoma" w:eastAsia="Times New Roman" w:hAnsi="Tahoma" w:cs="Tahoma"/>
                <w:color w:val="000000"/>
                <w:sz w:val="20"/>
                <w:szCs w:val="20"/>
                <w:lang w:eastAsia="pl-PL"/>
              </w:rPr>
            </w:pPr>
            <w:r w:rsidRPr="00A45DB0">
              <w:rPr>
                <w:rFonts w:ascii="Tahoma" w:eastAsia="Times New Roman" w:hAnsi="Tahoma" w:cs="Tahoma"/>
                <w:color w:val="000000"/>
                <w:sz w:val="20"/>
                <w:szCs w:val="20"/>
                <w:lang w:eastAsia="pl-PL"/>
              </w:rPr>
              <w:t>1</w:t>
            </w:r>
          </w:p>
        </w:tc>
        <w:tc>
          <w:tcPr>
            <w:tcW w:w="3636" w:type="dxa"/>
            <w:tcBorders>
              <w:top w:val="single" w:sz="4" w:space="0" w:color="95B3D7"/>
              <w:left w:val="nil"/>
              <w:bottom w:val="single" w:sz="4" w:space="0" w:color="95B3D7"/>
              <w:right w:val="nil"/>
            </w:tcBorders>
            <w:shd w:val="clear" w:color="DCE6F1" w:fill="DCE6F1"/>
            <w:noWrap/>
            <w:hideMark/>
          </w:tcPr>
          <w:p w14:paraId="5CF8D769" w14:textId="22DFE31A" w:rsidR="00B918DD" w:rsidRPr="00A45DB0" w:rsidRDefault="00B918DD" w:rsidP="00B918DD">
            <w:pPr>
              <w:spacing w:after="0" w:line="240" w:lineRule="auto"/>
              <w:jc w:val="center"/>
              <w:rPr>
                <w:rFonts w:ascii="Tahoma" w:eastAsia="Times New Roman" w:hAnsi="Tahoma" w:cs="Tahoma"/>
                <w:color w:val="000000"/>
                <w:sz w:val="20"/>
                <w:szCs w:val="20"/>
                <w:lang w:eastAsia="pl-PL"/>
              </w:rPr>
            </w:pPr>
            <w:r w:rsidRPr="001073E9">
              <w:t xml:space="preserve"> — 24,3%</w:t>
            </w:r>
          </w:p>
        </w:tc>
        <w:tc>
          <w:tcPr>
            <w:tcW w:w="3036" w:type="dxa"/>
            <w:tcBorders>
              <w:top w:val="single" w:sz="4" w:space="0" w:color="95B3D7"/>
              <w:left w:val="nil"/>
              <w:bottom w:val="single" w:sz="4" w:space="0" w:color="95B3D7"/>
              <w:right w:val="nil"/>
            </w:tcBorders>
            <w:shd w:val="clear" w:color="DCE6F1" w:fill="DCE6F1"/>
            <w:noWrap/>
            <w:hideMark/>
          </w:tcPr>
          <w:p w14:paraId="516CC4C4" w14:textId="7249C9D5" w:rsidR="00B918DD" w:rsidRPr="00A45DB0" w:rsidRDefault="00B918DD" w:rsidP="00B918DD">
            <w:pPr>
              <w:spacing w:after="0" w:line="240" w:lineRule="auto"/>
              <w:jc w:val="center"/>
              <w:rPr>
                <w:rFonts w:ascii="Tahoma" w:eastAsia="Times New Roman" w:hAnsi="Tahoma" w:cs="Tahoma"/>
                <w:color w:val="000000"/>
                <w:sz w:val="20"/>
                <w:szCs w:val="20"/>
                <w:lang w:eastAsia="pl-PL"/>
              </w:rPr>
            </w:pPr>
            <w:r w:rsidRPr="001073E9">
              <w:t>1000</w:t>
            </w:r>
          </w:p>
        </w:tc>
        <w:tc>
          <w:tcPr>
            <w:tcW w:w="3488" w:type="dxa"/>
            <w:tcBorders>
              <w:top w:val="single" w:sz="4" w:space="0" w:color="95B3D7"/>
              <w:left w:val="nil"/>
              <w:bottom w:val="single" w:sz="4" w:space="0" w:color="95B3D7"/>
              <w:right w:val="single" w:sz="4" w:space="0" w:color="95B3D7"/>
            </w:tcBorders>
            <w:shd w:val="clear" w:color="DCE6F1" w:fill="DCE6F1"/>
            <w:noWrap/>
            <w:hideMark/>
          </w:tcPr>
          <w:p w14:paraId="54C56313" w14:textId="4F3D88BD" w:rsidR="00B918DD" w:rsidRPr="00A45DB0" w:rsidRDefault="00B918DD" w:rsidP="00B918DD">
            <w:pPr>
              <w:spacing w:after="0" w:line="240" w:lineRule="auto"/>
              <w:jc w:val="center"/>
              <w:rPr>
                <w:rFonts w:ascii="Tahoma" w:eastAsia="Times New Roman" w:hAnsi="Tahoma" w:cs="Tahoma"/>
                <w:color w:val="000000"/>
                <w:sz w:val="20"/>
                <w:szCs w:val="20"/>
                <w:lang w:eastAsia="pl-PL"/>
              </w:rPr>
            </w:pPr>
            <w:r w:rsidRPr="001073E9">
              <w:t>4</w:t>
            </w:r>
          </w:p>
        </w:tc>
      </w:tr>
      <w:tr w:rsidR="00B918DD" w:rsidRPr="00A45DB0" w14:paraId="42E933AC" w14:textId="77777777" w:rsidTr="00284CCB">
        <w:trPr>
          <w:trHeight w:val="255"/>
        </w:trPr>
        <w:tc>
          <w:tcPr>
            <w:tcW w:w="2308" w:type="dxa"/>
            <w:tcBorders>
              <w:top w:val="single" w:sz="4" w:space="0" w:color="95B3D7"/>
              <w:left w:val="single" w:sz="4" w:space="0" w:color="95B3D7"/>
              <w:bottom w:val="single" w:sz="4" w:space="0" w:color="95B3D7"/>
              <w:right w:val="nil"/>
            </w:tcBorders>
            <w:noWrap/>
            <w:vAlign w:val="bottom"/>
            <w:hideMark/>
          </w:tcPr>
          <w:p w14:paraId="6DF8460D" w14:textId="77777777" w:rsidR="00B918DD" w:rsidRPr="00A45DB0" w:rsidRDefault="00B918DD" w:rsidP="00B918DD">
            <w:pPr>
              <w:spacing w:after="0" w:line="240" w:lineRule="auto"/>
              <w:jc w:val="center"/>
              <w:rPr>
                <w:rFonts w:ascii="Tahoma" w:eastAsia="Times New Roman" w:hAnsi="Tahoma" w:cs="Tahoma"/>
                <w:color w:val="000000"/>
                <w:sz w:val="20"/>
                <w:szCs w:val="20"/>
                <w:lang w:eastAsia="pl-PL"/>
              </w:rPr>
            </w:pPr>
            <w:r w:rsidRPr="00A45DB0">
              <w:rPr>
                <w:rFonts w:ascii="Tahoma" w:eastAsia="Times New Roman" w:hAnsi="Tahoma" w:cs="Tahoma"/>
                <w:color w:val="000000"/>
                <w:sz w:val="20"/>
                <w:szCs w:val="20"/>
                <w:lang w:eastAsia="pl-PL"/>
              </w:rPr>
              <w:t>2</w:t>
            </w:r>
          </w:p>
        </w:tc>
        <w:tc>
          <w:tcPr>
            <w:tcW w:w="3636" w:type="dxa"/>
            <w:tcBorders>
              <w:top w:val="single" w:sz="4" w:space="0" w:color="95B3D7"/>
              <w:left w:val="nil"/>
              <w:bottom w:val="single" w:sz="4" w:space="0" w:color="95B3D7"/>
              <w:right w:val="nil"/>
            </w:tcBorders>
            <w:noWrap/>
            <w:hideMark/>
          </w:tcPr>
          <w:p w14:paraId="68A449D8" w14:textId="3212A726" w:rsidR="00B918DD" w:rsidRPr="00A45DB0" w:rsidRDefault="00B918DD" w:rsidP="00B918DD">
            <w:pPr>
              <w:spacing w:after="0" w:line="240" w:lineRule="auto"/>
              <w:jc w:val="center"/>
              <w:rPr>
                <w:rFonts w:ascii="Tahoma" w:eastAsia="Times New Roman" w:hAnsi="Tahoma" w:cs="Tahoma"/>
                <w:color w:val="000000"/>
                <w:sz w:val="20"/>
                <w:szCs w:val="20"/>
                <w:lang w:eastAsia="pl-PL"/>
              </w:rPr>
            </w:pPr>
            <w:r w:rsidRPr="001073E9">
              <w:t>24,3% — 31,5%</w:t>
            </w:r>
          </w:p>
        </w:tc>
        <w:tc>
          <w:tcPr>
            <w:tcW w:w="3036" w:type="dxa"/>
            <w:tcBorders>
              <w:top w:val="single" w:sz="4" w:space="0" w:color="95B3D7"/>
              <w:left w:val="nil"/>
              <w:bottom w:val="single" w:sz="4" w:space="0" w:color="95B3D7"/>
              <w:right w:val="nil"/>
            </w:tcBorders>
            <w:noWrap/>
            <w:hideMark/>
          </w:tcPr>
          <w:p w14:paraId="01B1DDAE" w14:textId="5D57ED6F" w:rsidR="00B918DD" w:rsidRPr="00A45DB0" w:rsidRDefault="00B918DD" w:rsidP="00B918DD">
            <w:pPr>
              <w:spacing w:after="0" w:line="240" w:lineRule="auto"/>
              <w:jc w:val="center"/>
              <w:rPr>
                <w:rFonts w:ascii="Tahoma" w:eastAsia="Times New Roman" w:hAnsi="Tahoma" w:cs="Tahoma"/>
                <w:color w:val="000000"/>
                <w:sz w:val="20"/>
                <w:szCs w:val="20"/>
                <w:lang w:eastAsia="pl-PL"/>
              </w:rPr>
            </w:pPr>
            <w:r w:rsidRPr="001073E9">
              <w:t>857,286</w:t>
            </w:r>
          </w:p>
        </w:tc>
        <w:tc>
          <w:tcPr>
            <w:tcW w:w="3488" w:type="dxa"/>
            <w:tcBorders>
              <w:top w:val="single" w:sz="4" w:space="0" w:color="95B3D7"/>
              <w:left w:val="nil"/>
              <w:bottom w:val="single" w:sz="4" w:space="0" w:color="95B3D7"/>
              <w:right w:val="single" w:sz="4" w:space="0" w:color="95B3D7"/>
            </w:tcBorders>
            <w:noWrap/>
            <w:hideMark/>
          </w:tcPr>
          <w:p w14:paraId="1F921981" w14:textId="607A6CA8" w:rsidR="00B918DD" w:rsidRPr="00A45DB0" w:rsidRDefault="00B918DD" w:rsidP="00B918DD">
            <w:pPr>
              <w:spacing w:after="0" w:line="240" w:lineRule="auto"/>
              <w:jc w:val="center"/>
              <w:rPr>
                <w:rFonts w:ascii="Tahoma" w:eastAsia="Times New Roman" w:hAnsi="Tahoma" w:cs="Tahoma"/>
                <w:color w:val="000000"/>
                <w:sz w:val="20"/>
                <w:szCs w:val="20"/>
                <w:lang w:eastAsia="pl-PL"/>
              </w:rPr>
            </w:pPr>
            <w:r w:rsidRPr="001073E9">
              <w:t>3</w:t>
            </w:r>
          </w:p>
        </w:tc>
      </w:tr>
      <w:tr w:rsidR="00B918DD" w:rsidRPr="00A45DB0" w14:paraId="42C90AD2" w14:textId="77777777" w:rsidTr="00284CCB">
        <w:trPr>
          <w:trHeight w:val="255"/>
        </w:trPr>
        <w:tc>
          <w:tcPr>
            <w:tcW w:w="2308" w:type="dxa"/>
            <w:tcBorders>
              <w:top w:val="single" w:sz="4" w:space="0" w:color="95B3D7"/>
              <w:left w:val="single" w:sz="4" w:space="0" w:color="95B3D7"/>
              <w:bottom w:val="single" w:sz="4" w:space="0" w:color="95B3D7"/>
              <w:right w:val="nil"/>
            </w:tcBorders>
            <w:shd w:val="clear" w:color="DCE6F1" w:fill="DCE6F1"/>
            <w:noWrap/>
            <w:vAlign w:val="bottom"/>
            <w:hideMark/>
          </w:tcPr>
          <w:p w14:paraId="077014BF" w14:textId="77777777" w:rsidR="00B918DD" w:rsidRPr="00A45DB0" w:rsidRDefault="00B918DD" w:rsidP="00B918DD">
            <w:pPr>
              <w:spacing w:after="0" w:line="240" w:lineRule="auto"/>
              <w:jc w:val="center"/>
              <w:rPr>
                <w:rFonts w:ascii="Tahoma" w:eastAsia="Times New Roman" w:hAnsi="Tahoma" w:cs="Tahoma"/>
                <w:color w:val="000000"/>
                <w:sz w:val="20"/>
                <w:szCs w:val="20"/>
                <w:lang w:eastAsia="pl-PL"/>
              </w:rPr>
            </w:pPr>
            <w:r w:rsidRPr="00A45DB0">
              <w:rPr>
                <w:rFonts w:ascii="Tahoma" w:eastAsia="Times New Roman" w:hAnsi="Tahoma" w:cs="Tahoma"/>
                <w:color w:val="000000"/>
                <w:sz w:val="20"/>
                <w:szCs w:val="20"/>
                <w:lang w:eastAsia="pl-PL"/>
              </w:rPr>
              <w:t>3</w:t>
            </w:r>
          </w:p>
        </w:tc>
        <w:tc>
          <w:tcPr>
            <w:tcW w:w="3636" w:type="dxa"/>
            <w:tcBorders>
              <w:top w:val="single" w:sz="4" w:space="0" w:color="95B3D7"/>
              <w:left w:val="nil"/>
              <w:bottom w:val="single" w:sz="4" w:space="0" w:color="95B3D7"/>
              <w:right w:val="nil"/>
            </w:tcBorders>
            <w:shd w:val="clear" w:color="DCE6F1" w:fill="DCE6F1"/>
            <w:noWrap/>
            <w:hideMark/>
          </w:tcPr>
          <w:p w14:paraId="71D88CE5" w14:textId="531652AC" w:rsidR="00B918DD" w:rsidRPr="00A45DB0" w:rsidRDefault="00B918DD" w:rsidP="00B918DD">
            <w:pPr>
              <w:spacing w:after="0" w:line="240" w:lineRule="auto"/>
              <w:jc w:val="center"/>
              <w:rPr>
                <w:rFonts w:ascii="Tahoma" w:eastAsia="Times New Roman" w:hAnsi="Tahoma" w:cs="Tahoma"/>
                <w:color w:val="000000"/>
                <w:sz w:val="20"/>
                <w:szCs w:val="20"/>
                <w:lang w:eastAsia="pl-PL"/>
              </w:rPr>
            </w:pPr>
            <w:r w:rsidRPr="001073E9">
              <w:t>31,5% — 35,6%</w:t>
            </w:r>
          </w:p>
        </w:tc>
        <w:tc>
          <w:tcPr>
            <w:tcW w:w="3036" w:type="dxa"/>
            <w:tcBorders>
              <w:top w:val="single" w:sz="4" w:space="0" w:color="95B3D7"/>
              <w:left w:val="nil"/>
              <w:bottom w:val="single" w:sz="4" w:space="0" w:color="95B3D7"/>
              <w:right w:val="nil"/>
            </w:tcBorders>
            <w:shd w:val="clear" w:color="DCE6F1" w:fill="DCE6F1"/>
            <w:noWrap/>
            <w:hideMark/>
          </w:tcPr>
          <w:p w14:paraId="1BA21F29" w14:textId="1CBA783E" w:rsidR="00B918DD" w:rsidRPr="00A45DB0" w:rsidRDefault="00B918DD" w:rsidP="00B918DD">
            <w:pPr>
              <w:spacing w:after="0" w:line="240" w:lineRule="auto"/>
              <w:jc w:val="center"/>
              <w:rPr>
                <w:rFonts w:ascii="Tahoma" w:eastAsia="Times New Roman" w:hAnsi="Tahoma" w:cs="Tahoma"/>
                <w:color w:val="000000"/>
                <w:sz w:val="20"/>
                <w:szCs w:val="20"/>
                <w:lang w:eastAsia="pl-PL"/>
              </w:rPr>
            </w:pPr>
            <w:r w:rsidRPr="001073E9">
              <w:t>714,571</w:t>
            </w:r>
          </w:p>
        </w:tc>
        <w:tc>
          <w:tcPr>
            <w:tcW w:w="3488" w:type="dxa"/>
            <w:tcBorders>
              <w:top w:val="single" w:sz="4" w:space="0" w:color="95B3D7"/>
              <w:left w:val="nil"/>
              <w:bottom w:val="single" w:sz="4" w:space="0" w:color="95B3D7"/>
              <w:right w:val="single" w:sz="4" w:space="0" w:color="95B3D7"/>
            </w:tcBorders>
            <w:shd w:val="clear" w:color="DCE6F1" w:fill="DCE6F1"/>
            <w:noWrap/>
            <w:hideMark/>
          </w:tcPr>
          <w:p w14:paraId="35922603" w14:textId="7B44BB8D" w:rsidR="00B918DD" w:rsidRPr="00A45DB0" w:rsidRDefault="00B918DD" w:rsidP="00B918DD">
            <w:pPr>
              <w:spacing w:after="0" w:line="240" w:lineRule="auto"/>
              <w:jc w:val="center"/>
              <w:rPr>
                <w:rFonts w:ascii="Tahoma" w:eastAsia="Times New Roman" w:hAnsi="Tahoma" w:cs="Tahoma"/>
                <w:color w:val="000000"/>
                <w:sz w:val="20"/>
                <w:szCs w:val="20"/>
                <w:lang w:eastAsia="pl-PL"/>
              </w:rPr>
            </w:pPr>
            <w:r w:rsidRPr="001073E9">
              <w:t>3</w:t>
            </w:r>
          </w:p>
        </w:tc>
      </w:tr>
      <w:tr w:rsidR="00B918DD" w:rsidRPr="00A45DB0" w14:paraId="4F327A75" w14:textId="77777777" w:rsidTr="00284CCB">
        <w:trPr>
          <w:trHeight w:val="255"/>
        </w:trPr>
        <w:tc>
          <w:tcPr>
            <w:tcW w:w="2308" w:type="dxa"/>
            <w:tcBorders>
              <w:top w:val="single" w:sz="4" w:space="0" w:color="95B3D7"/>
              <w:left w:val="single" w:sz="4" w:space="0" w:color="95B3D7"/>
              <w:bottom w:val="single" w:sz="4" w:space="0" w:color="95B3D7"/>
              <w:right w:val="nil"/>
            </w:tcBorders>
            <w:noWrap/>
            <w:vAlign w:val="bottom"/>
            <w:hideMark/>
          </w:tcPr>
          <w:p w14:paraId="35B0E9F0" w14:textId="77777777" w:rsidR="00B918DD" w:rsidRPr="00A45DB0" w:rsidRDefault="00B918DD" w:rsidP="00B918DD">
            <w:pPr>
              <w:spacing w:after="0" w:line="240" w:lineRule="auto"/>
              <w:jc w:val="center"/>
              <w:rPr>
                <w:rFonts w:ascii="Tahoma" w:eastAsia="Times New Roman" w:hAnsi="Tahoma" w:cs="Tahoma"/>
                <w:color w:val="000000"/>
                <w:sz w:val="20"/>
                <w:szCs w:val="20"/>
                <w:lang w:eastAsia="pl-PL"/>
              </w:rPr>
            </w:pPr>
            <w:r w:rsidRPr="00A45DB0">
              <w:rPr>
                <w:rFonts w:ascii="Tahoma" w:eastAsia="Times New Roman" w:hAnsi="Tahoma" w:cs="Tahoma"/>
                <w:color w:val="000000"/>
                <w:sz w:val="20"/>
                <w:szCs w:val="20"/>
                <w:lang w:eastAsia="pl-PL"/>
              </w:rPr>
              <w:t>4</w:t>
            </w:r>
          </w:p>
        </w:tc>
        <w:tc>
          <w:tcPr>
            <w:tcW w:w="3636" w:type="dxa"/>
            <w:tcBorders>
              <w:top w:val="single" w:sz="4" w:space="0" w:color="95B3D7"/>
              <w:left w:val="nil"/>
              <w:bottom w:val="single" w:sz="4" w:space="0" w:color="95B3D7"/>
              <w:right w:val="nil"/>
            </w:tcBorders>
            <w:noWrap/>
            <w:hideMark/>
          </w:tcPr>
          <w:p w14:paraId="5F0B793F" w14:textId="11B16B51" w:rsidR="00B918DD" w:rsidRPr="00A45DB0" w:rsidRDefault="00B918DD" w:rsidP="00B918DD">
            <w:pPr>
              <w:spacing w:after="0" w:line="240" w:lineRule="auto"/>
              <w:jc w:val="center"/>
              <w:rPr>
                <w:rFonts w:ascii="Tahoma" w:eastAsia="Times New Roman" w:hAnsi="Tahoma" w:cs="Tahoma"/>
                <w:color w:val="000000"/>
                <w:sz w:val="20"/>
                <w:szCs w:val="20"/>
                <w:lang w:eastAsia="pl-PL"/>
              </w:rPr>
            </w:pPr>
            <w:r w:rsidRPr="001073E9">
              <w:t>35,6% — 40,8%</w:t>
            </w:r>
          </w:p>
        </w:tc>
        <w:tc>
          <w:tcPr>
            <w:tcW w:w="3036" w:type="dxa"/>
            <w:tcBorders>
              <w:top w:val="single" w:sz="4" w:space="0" w:color="95B3D7"/>
              <w:left w:val="nil"/>
              <w:bottom w:val="single" w:sz="4" w:space="0" w:color="95B3D7"/>
              <w:right w:val="nil"/>
            </w:tcBorders>
            <w:noWrap/>
            <w:hideMark/>
          </w:tcPr>
          <w:p w14:paraId="563756A7" w14:textId="5BF1264D" w:rsidR="00B918DD" w:rsidRPr="00A45DB0" w:rsidRDefault="00B918DD" w:rsidP="00B918DD">
            <w:pPr>
              <w:spacing w:after="0" w:line="240" w:lineRule="auto"/>
              <w:jc w:val="center"/>
              <w:rPr>
                <w:rFonts w:ascii="Tahoma" w:eastAsia="Times New Roman" w:hAnsi="Tahoma" w:cs="Tahoma"/>
                <w:color w:val="000000"/>
                <w:sz w:val="20"/>
                <w:szCs w:val="20"/>
                <w:lang w:eastAsia="pl-PL"/>
              </w:rPr>
            </w:pPr>
            <w:r w:rsidRPr="001073E9">
              <w:t>571,857</w:t>
            </w:r>
          </w:p>
        </w:tc>
        <w:tc>
          <w:tcPr>
            <w:tcW w:w="3488" w:type="dxa"/>
            <w:tcBorders>
              <w:top w:val="single" w:sz="4" w:space="0" w:color="95B3D7"/>
              <w:left w:val="nil"/>
              <w:bottom w:val="single" w:sz="4" w:space="0" w:color="95B3D7"/>
              <w:right w:val="single" w:sz="4" w:space="0" w:color="95B3D7"/>
            </w:tcBorders>
            <w:noWrap/>
            <w:hideMark/>
          </w:tcPr>
          <w:p w14:paraId="24042CAC" w14:textId="2452B36B" w:rsidR="00B918DD" w:rsidRPr="00A45DB0" w:rsidRDefault="00B918DD" w:rsidP="00B918DD">
            <w:pPr>
              <w:spacing w:after="0" w:line="240" w:lineRule="auto"/>
              <w:jc w:val="center"/>
              <w:rPr>
                <w:rFonts w:ascii="Tahoma" w:eastAsia="Times New Roman" w:hAnsi="Tahoma" w:cs="Tahoma"/>
                <w:color w:val="000000"/>
                <w:sz w:val="20"/>
                <w:szCs w:val="20"/>
                <w:lang w:eastAsia="pl-PL"/>
              </w:rPr>
            </w:pPr>
            <w:r w:rsidRPr="001073E9">
              <w:t>3</w:t>
            </w:r>
          </w:p>
        </w:tc>
      </w:tr>
      <w:tr w:rsidR="00B918DD" w:rsidRPr="00A45DB0" w14:paraId="58DF8022" w14:textId="77777777" w:rsidTr="00284CCB">
        <w:trPr>
          <w:trHeight w:val="255"/>
        </w:trPr>
        <w:tc>
          <w:tcPr>
            <w:tcW w:w="2308" w:type="dxa"/>
            <w:tcBorders>
              <w:top w:val="single" w:sz="4" w:space="0" w:color="95B3D7"/>
              <w:left w:val="single" w:sz="4" w:space="0" w:color="95B3D7"/>
              <w:bottom w:val="single" w:sz="4" w:space="0" w:color="95B3D7"/>
              <w:right w:val="nil"/>
            </w:tcBorders>
            <w:shd w:val="clear" w:color="DCE6F1" w:fill="DCE6F1"/>
            <w:noWrap/>
            <w:vAlign w:val="bottom"/>
            <w:hideMark/>
          </w:tcPr>
          <w:p w14:paraId="5E90A847" w14:textId="77777777" w:rsidR="00B918DD" w:rsidRPr="00A45DB0" w:rsidRDefault="00B918DD" w:rsidP="00B918DD">
            <w:pPr>
              <w:spacing w:after="0" w:line="240" w:lineRule="auto"/>
              <w:jc w:val="center"/>
              <w:rPr>
                <w:rFonts w:ascii="Tahoma" w:eastAsia="Times New Roman" w:hAnsi="Tahoma" w:cs="Tahoma"/>
                <w:color w:val="000000"/>
                <w:sz w:val="20"/>
                <w:szCs w:val="20"/>
                <w:lang w:eastAsia="pl-PL"/>
              </w:rPr>
            </w:pPr>
            <w:r w:rsidRPr="00A45DB0">
              <w:rPr>
                <w:rFonts w:ascii="Tahoma" w:eastAsia="Times New Roman" w:hAnsi="Tahoma" w:cs="Tahoma"/>
                <w:color w:val="000000"/>
                <w:sz w:val="20"/>
                <w:szCs w:val="20"/>
                <w:lang w:eastAsia="pl-PL"/>
              </w:rPr>
              <w:t>5</w:t>
            </w:r>
          </w:p>
        </w:tc>
        <w:tc>
          <w:tcPr>
            <w:tcW w:w="3636" w:type="dxa"/>
            <w:tcBorders>
              <w:top w:val="single" w:sz="4" w:space="0" w:color="95B3D7"/>
              <w:left w:val="nil"/>
              <w:bottom w:val="single" w:sz="4" w:space="0" w:color="95B3D7"/>
              <w:right w:val="nil"/>
            </w:tcBorders>
            <w:shd w:val="clear" w:color="DCE6F1" w:fill="DCE6F1"/>
            <w:noWrap/>
            <w:hideMark/>
          </w:tcPr>
          <w:p w14:paraId="6E949A76" w14:textId="5C117644" w:rsidR="00B918DD" w:rsidRPr="00A45DB0" w:rsidRDefault="00B918DD" w:rsidP="00B918DD">
            <w:pPr>
              <w:spacing w:after="0" w:line="240" w:lineRule="auto"/>
              <w:jc w:val="center"/>
              <w:rPr>
                <w:rFonts w:ascii="Tahoma" w:eastAsia="Times New Roman" w:hAnsi="Tahoma" w:cs="Tahoma"/>
                <w:color w:val="000000"/>
                <w:sz w:val="20"/>
                <w:szCs w:val="20"/>
                <w:lang w:eastAsia="pl-PL"/>
              </w:rPr>
            </w:pPr>
            <w:r w:rsidRPr="001073E9">
              <w:t>40,8% — 44,2%</w:t>
            </w:r>
          </w:p>
        </w:tc>
        <w:tc>
          <w:tcPr>
            <w:tcW w:w="3036" w:type="dxa"/>
            <w:tcBorders>
              <w:top w:val="single" w:sz="4" w:space="0" w:color="95B3D7"/>
              <w:left w:val="nil"/>
              <w:bottom w:val="single" w:sz="4" w:space="0" w:color="95B3D7"/>
              <w:right w:val="nil"/>
            </w:tcBorders>
            <w:shd w:val="clear" w:color="DCE6F1" w:fill="DCE6F1"/>
            <w:noWrap/>
            <w:hideMark/>
          </w:tcPr>
          <w:p w14:paraId="55F68592" w14:textId="16AD4436" w:rsidR="00B918DD" w:rsidRPr="00A45DB0" w:rsidRDefault="00B918DD" w:rsidP="00B918DD">
            <w:pPr>
              <w:spacing w:after="0" w:line="240" w:lineRule="auto"/>
              <w:jc w:val="center"/>
              <w:rPr>
                <w:rFonts w:ascii="Tahoma" w:eastAsia="Times New Roman" w:hAnsi="Tahoma" w:cs="Tahoma"/>
                <w:color w:val="000000"/>
                <w:sz w:val="20"/>
                <w:szCs w:val="20"/>
                <w:lang w:eastAsia="pl-PL"/>
              </w:rPr>
            </w:pPr>
            <w:r w:rsidRPr="001073E9">
              <w:t>429,143</w:t>
            </w:r>
          </w:p>
        </w:tc>
        <w:tc>
          <w:tcPr>
            <w:tcW w:w="3488" w:type="dxa"/>
            <w:tcBorders>
              <w:top w:val="single" w:sz="4" w:space="0" w:color="95B3D7"/>
              <w:left w:val="nil"/>
              <w:bottom w:val="single" w:sz="4" w:space="0" w:color="95B3D7"/>
              <w:right w:val="single" w:sz="4" w:space="0" w:color="95B3D7"/>
            </w:tcBorders>
            <w:shd w:val="clear" w:color="DCE6F1" w:fill="DCE6F1"/>
            <w:noWrap/>
            <w:hideMark/>
          </w:tcPr>
          <w:p w14:paraId="6D6F10AC" w14:textId="011D7DEF" w:rsidR="00B918DD" w:rsidRPr="00A45DB0" w:rsidRDefault="00B918DD" w:rsidP="00B918DD">
            <w:pPr>
              <w:spacing w:after="0" w:line="240" w:lineRule="auto"/>
              <w:jc w:val="center"/>
              <w:rPr>
                <w:rFonts w:ascii="Tahoma" w:eastAsia="Times New Roman" w:hAnsi="Tahoma" w:cs="Tahoma"/>
                <w:color w:val="000000"/>
                <w:sz w:val="20"/>
                <w:szCs w:val="20"/>
                <w:lang w:eastAsia="pl-PL"/>
              </w:rPr>
            </w:pPr>
            <w:r w:rsidRPr="001073E9">
              <w:t>3</w:t>
            </w:r>
          </w:p>
        </w:tc>
      </w:tr>
      <w:tr w:rsidR="00B918DD" w:rsidRPr="00A45DB0" w14:paraId="5FA8B9D7" w14:textId="77777777" w:rsidTr="00284CCB">
        <w:trPr>
          <w:trHeight w:val="255"/>
        </w:trPr>
        <w:tc>
          <w:tcPr>
            <w:tcW w:w="2308" w:type="dxa"/>
            <w:tcBorders>
              <w:top w:val="single" w:sz="4" w:space="0" w:color="95B3D7"/>
              <w:left w:val="single" w:sz="4" w:space="0" w:color="95B3D7"/>
              <w:bottom w:val="single" w:sz="4" w:space="0" w:color="95B3D7"/>
              <w:right w:val="nil"/>
            </w:tcBorders>
            <w:noWrap/>
            <w:vAlign w:val="bottom"/>
            <w:hideMark/>
          </w:tcPr>
          <w:p w14:paraId="114376B1" w14:textId="77777777" w:rsidR="00B918DD" w:rsidRPr="00A45DB0" w:rsidRDefault="00B918DD" w:rsidP="00B918DD">
            <w:pPr>
              <w:spacing w:after="0" w:line="240" w:lineRule="auto"/>
              <w:jc w:val="center"/>
              <w:rPr>
                <w:rFonts w:ascii="Tahoma" w:eastAsia="Times New Roman" w:hAnsi="Tahoma" w:cs="Tahoma"/>
                <w:color w:val="000000"/>
                <w:sz w:val="20"/>
                <w:szCs w:val="20"/>
                <w:lang w:eastAsia="pl-PL"/>
              </w:rPr>
            </w:pPr>
            <w:r w:rsidRPr="00A45DB0">
              <w:rPr>
                <w:rFonts w:ascii="Tahoma" w:eastAsia="Times New Roman" w:hAnsi="Tahoma" w:cs="Tahoma"/>
                <w:color w:val="000000"/>
                <w:sz w:val="20"/>
                <w:szCs w:val="20"/>
                <w:lang w:eastAsia="pl-PL"/>
              </w:rPr>
              <w:t>6</w:t>
            </w:r>
          </w:p>
        </w:tc>
        <w:tc>
          <w:tcPr>
            <w:tcW w:w="3636" w:type="dxa"/>
            <w:tcBorders>
              <w:top w:val="single" w:sz="4" w:space="0" w:color="95B3D7"/>
              <w:left w:val="nil"/>
              <w:bottom w:val="single" w:sz="4" w:space="0" w:color="95B3D7"/>
              <w:right w:val="nil"/>
            </w:tcBorders>
            <w:noWrap/>
            <w:hideMark/>
          </w:tcPr>
          <w:p w14:paraId="642D0BB6" w14:textId="153F717D" w:rsidR="00B918DD" w:rsidRPr="00A45DB0" w:rsidRDefault="00B918DD" w:rsidP="00B918DD">
            <w:pPr>
              <w:spacing w:after="0" w:line="240" w:lineRule="auto"/>
              <w:jc w:val="center"/>
              <w:rPr>
                <w:rFonts w:ascii="Tahoma" w:eastAsia="Times New Roman" w:hAnsi="Tahoma" w:cs="Tahoma"/>
                <w:color w:val="000000"/>
                <w:sz w:val="20"/>
                <w:szCs w:val="20"/>
                <w:lang w:eastAsia="pl-PL"/>
              </w:rPr>
            </w:pPr>
            <w:r w:rsidRPr="001073E9">
              <w:t>44,2% — 48,5%</w:t>
            </w:r>
          </w:p>
        </w:tc>
        <w:tc>
          <w:tcPr>
            <w:tcW w:w="3036" w:type="dxa"/>
            <w:tcBorders>
              <w:top w:val="single" w:sz="4" w:space="0" w:color="95B3D7"/>
              <w:left w:val="nil"/>
              <w:bottom w:val="single" w:sz="4" w:space="0" w:color="95B3D7"/>
              <w:right w:val="nil"/>
            </w:tcBorders>
            <w:noWrap/>
            <w:hideMark/>
          </w:tcPr>
          <w:p w14:paraId="2F2733CA" w14:textId="758EF519" w:rsidR="00B918DD" w:rsidRPr="00A45DB0" w:rsidRDefault="00B918DD" w:rsidP="00B918DD">
            <w:pPr>
              <w:spacing w:after="0" w:line="240" w:lineRule="auto"/>
              <w:jc w:val="center"/>
              <w:rPr>
                <w:rFonts w:ascii="Tahoma" w:eastAsia="Times New Roman" w:hAnsi="Tahoma" w:cs="Tahoma"/>
                <w:color w:val="000000"/>
                <w:sz w:val="20"/>
                <w:szCs w:val="20"/>
                <w:lang w:eastAsia="pl-PL"/>
              </w:rPr>
            </w:pPr>
            <w:r w:rsidRPr="001073E9">
              <w:t>286,429</w:t>
            </w:r>
          </w:p>
        </w:tc>
        <w:tc>
          <w:tcPr>
            <w:tcW w:w="3488" w:type="dxa"/>
            <w:tcBorders>
              <w:top w:val="single" w:sz="4" w:space="0" w:color="95B3D7"/>
              <w:left w:val="nil"/>
              <w:bottom w:val="single" w:sz="4" w:space="0" w:color="95B3D7"/>
              <w:right w:val="single" w:sz="4" w:space="0" w:color="95B3D7"/>
            </w:tcBorders>
            <w:noWrap/>
            <w:hideMark/>
          </w:tcPr>
          <w:p w14:paraId="0DFA8ABA" w14:textId="0DBDD841" w:rsidR="00B918DD" w:rsidRPr="00A45DB0" w:rsidRDefault="00B918DD" w:rsidP="00B918DD">
            <w:pPr>
              <w:spacing w:after="0" w:line="240" w:lineRule="auto"/>
              <w:jc w:val="center"/>
              <w:rPr>
                <w:rFonts w:ascii="Tahoma" w:eastAsia="Times New Roman" w:hAnsi="Tahoma" w:cs="Tahoma"/>
                <w:color w:val="000000"/>
                <w:sz w:val="20"/>
                <w:szCs w:val="20"/>
                <w:lang w:eastAsia="pl-PL"/>
              </w:rPr>
            </w:pPr>
            <w:r w:rsidRPr="001073E9">
              <w:t>3</w:t>
            </w:r>
          </w:p>
        </w:tc>
      </w:tr>
      <w:tr w:rsidR="00B918DD" w:rsidRPr="00A45DB0" w14:paraId="05391B21" w14:textId="77777777" w:rsidTr="00284CCB">
        <w:trPr>
          <w:trHeight w:val="255"/>
        </w:trPr>
        <w:tc>
          <w:tcPr>
            <w:tcW w:w="2308" w:type="dxa"/>
            <w:tcBorders>
              <w:top w:val="single" w:sz="4" w:space="0" w:color="95B3D7"/>
              <w:left w:val="single" w:sz="4" w:space="0" w:color="95B3D7"/>
              <w:bottom w:val="single" w:sz="4" w:space="0" w:color="95B3D7"/>
              <w:right w:val="nil"/>
            </w:tcBorders>
            <w:shd w:val="clear" w:color="DCE6F1" w:fill="DCE6F1"/>
            <w:noWrap/>
            <w:vAlign w:val="bottom"/>
            <w:hideMark/>
          </w:tcPr>
          <w:p w14:paraId="66EE56C1" w14:textId="77777777" w:rsidR="00B918DD" w:rsidRPr="00A45DB0" w:rsidRDefault="00B918DD" w:rsidP="00B918DD">
            <w:pPr>
              <w:spacing w:after="0" w:line="240" w:lineRule="auto"/>
              <w:jc w:val="center"/>
              <w:rPr>
                <w:rFonts w:ascii="Tahoma" w:eastAsia="Times New Roman" w:hAnsi="Tahoma" w:cs="Tahoma"/>
                <w:color w:val="000000"/>
                <w:sz w:val="20"/>
                <w:szCs w:val="20"/>
                <w:lang w:eastAsia="pl-PL"/>
              </w:rPr>
            </w:pPr>
            <w:r w:rsidRPr="00A45DB0">
              <w:rPr>
                <w:rFonts w:ascii="Tahoma" w:eastAsia="Times New Roman" w:hAnsi="Tahoma" w:cs="Tahoma"/>
                <w:color w:val="000000"/>
                <w:sz w:val="20"/>
                <w:szCs w:val="20"/>
                <w:lang w:eastAsia="pl-PL"/>
              </w:rPr>
              <w:t>7</w:t>
            </w:r>
          </w:p>
        </w:tc>
        <w:tc>
          <w:tcPr>
            <w:tcW w:w="3636" w:type="dxa"/>
            <w:tcBorders>
              <w:top w:val="single" w:sz="4" w:space="0" w:color="95B3D7"/>
              <w:left w:val="nil"/>
              <w:bottom w:val="single" w:sz="4" w:space="0" w:color="95B3D7"/>
              <w:right w:val="nil"/>
            </w:tcBorders>
            <w:shd w:val="clear" w:color="DCE6F1" w:fill="DCE6F1"/>
            <w:noWrap/>
            <w:hideMark/>
          </w:tcPr>
          <w:p w14:paraId="6083084C" w14:textId="63FF2C72" w:rsidR="00B918DD" w:rsidRPr="00A45DB0" w:rsidRDefault="00B918DD" w:rsidP="00B918DD">
            <w:pPr>
              <w:spacing w:after="0" w:line="240" w:lineRule="auto"/>
              <w:jc w:val="center"/>
              <w:rPr>
                <w:rFonts w:ascii="Tahoma" w:eastAsia="Times New Roman" w:hAnsi="Tahoma" w:cs="Tahoma"/>
                <w:color w:val="000000"/>
                <w:sz w:val="20"/>
                <w:szCs w:val="20"/>
                <w:lang w:eastAsia="pl-PL"/>
              </w:rPr>
            </w:pPr>
            <w:r w:rsidRPr="001073E9">
              <w:t>48,5% — 59,9%</w:t>
            </w:r>
          </w:p>
        </w:tc>
        <w:tc>
          <w:tcPr>
            <w:tcW w:w="3036" w:type="dxa"/>
            <w:tcBorders>
              <w:top w:val="single" w:sz="4" w:space="0" w:color="95B3D7"/>
              <w:left w:val="nil"/>
              <w:bottom w:val="single" w:sz="4" w:space="0" w:color="95B3D7"/>
              <w:right w:val="nil"/>
            </w:tcBorders>
            <w:shd w:val="clear" w:color="DCE6F1" w:fill="DCE6F1"/>
            <w:noWrap/>
            <w:hideMark/>
          </w:tcPr>
          <w:p w14:paraId="1DE231D0" w14:textId="22B2FDDD" w:rsidR="00B918DD" w:rsidRPr="00A45DB0" w:rsidRDefault="00B918DD" w:rsidP="00B918DD">
            <w:pPr>
              <w:spacing w:after="0" w:line="240" w:lineRule="auto"/>
              <w:jc w:val="center"/>
              <w:rPr>
                <w:rFonts w:ascii="Tahoma" w:eastAsia="Times New Roman" w:hAnsi="Tahoma" w:cs="Tahoma"/>
                <w:color w:val="000000"/>
                <w:sz w:val="20"/>
                <w:szCs w:val="20"/>
                <w:lang w:eastAsia="pl-PL"/>
              </w:rPr>
            </w:pPr>
            <w:r w:rsidRPr="001073E9">
              <w:t>143,714</w:t>
            </w:r>
          </w:p>
        </w:tc>
        <w:tc>
          <w:tcPr>
            <w:tcW w:w="3488" w:type="dxa"/>
            <w:tcBorders>
              <w:top w:val="single" w:sz="4" w:space="0" w:color="95B3D7"/>
              <w:left w:val="nil"/>
              <w:bottom w:val="single" w:sz="4" w:space="0" w:color="95B3D7"/>
              <w:right w:val="single" w:sz="4" w:space="0" w:color="95B3D7"/>
            </w:tcBorders>
            <w:shd w:val="clear" w:color="DCE6F1" w:fill="DCE6F1"/>
            <w:noWrap/>
            <w:hideMark/>
          </w:tcPr>
          <w:p w14:paraId="099DC91D" w14:textId="7023659E" w:rsidR="00B918DD" w:rsidRPr="00A45DB0" w:rsidRDefault="00B918DD" w:rsidP="00B918DD">
            <w:pPr>
              <w:spacing w:after="0" w:line="240" w:lineRule="auto"/>
              <w:jc w:val="center"/>
              <w:rPr>
                <w:rFonts w:ascii="Tahoma" w:eastAsia="Times New Roman" w:hAnsi="Tahoma" w:cs="Tahoma"/>
                <w:color w:val="000000"/>
                <w:sz w:val="20"/>
                <w:szCs w:val="20"/>
                <w:lang w:eastAsia="pl-PL"/>
              </w:rPr>
            </w:pPr>
            <w:r w:rsidRPr="001073E9">
              <w:t>3</w:t>
            </w:r>
          </w:p>
        </w:tc>
      </w:tr>
      <w:tr w:rsidR="00B918DD" w:rsidRPr="00A45DB0" w14:paraId="1CA91119" w14:textId="77777777" w:rsidTr="00284CCB">
        <w:trPr>
          <w:trHeight w:val="255"/>
        </w:trPr>
        <w:tc>
          <w:tcPr>
            <w:tcW w:w="2308" w:type="dxa"/>
            <w:tcBorders>
              <w:top w:val="single" w:sz="4" w:space="0" w:color="95B3D7"/>
              <w:left w:val="single" w:sz="4" w:space="0" w:color="95B3D7"/>
              <w:bottom w:val="single" w:sz="4" w:space="0" w:color="95B3D7"/>
              <w:right w:val="nil"/>
            </w:tcBorders>
            <w:noWrap/>
            <w:vAlign w:val="bottom"/>
            <w:hideMark/>
          </w:tcPr>
          <w:p w14:paraId="7AD2804D" w14:textId="77777777" w:rsidR="00B918DD" w:rsidRPr="00A45DB0" w:rsidRDefault="00B918DD" w:rsidP="00B918DD">
            <w:pPr>
              <w:spacing w:after="0" w:line="240" w:lineRule="auto"/>
              <w:jc w:val="center"/>
              <w:rPr>
                <w:rFonts w:ascii="Tahoma" w:eastAsia="Times New Roman" w:hAnsi="Tahoma" w:cs="Tahoma"/>
                <w:color w:val="000000"/>
                <w:sz w:val="20"/>
                <w:szCs w:val="20"/>
                <w:lang w:eastAsia="pl-PL"/>
              </w:rPr>
            </w:pPr>
            <w:r w:rsidRPr="00A45DB0">
              <w:rPr>
                <w:rFonts w:ascii="Tahoma" w:eastAsia="Times New Roman" w:hAnsi="Tahoma" w:cs="Tahoma"/>
                <w:color w:val="000000"/>
                <w:sz w:val="20"/>
                <w:szCs w:val="20"/>
                <w:lang w:eastAsia="pl-PL"/>
              </w:rPr>
              <w:t>8</w:t>
            </w:r>
          </w:p>
        </w:tc>
        <w:tc>
          <w:tcPr>
            <w:tcW w:w="3636" w:type="dxa"/>
            <w:tcBorders>
              <w:top w:val="single" w:sz="4" w:space="0" w:color="95B3D7"/>
              <w:left w:val="nil"/>
              <w:bottom w:val="single" w:sz="4" w:space="0" w:color="95B3D7"/>
              <w:right w:val="nil"/>
            </w:tcBorders>
            <w:noWrap/>
            <w:hideMark/>
          </w:tcPr>
          <w:p w14:paraId="7890F677" w14:textId="715AAD72" w:rsidR="00B918DD" w:rsidRPr="00A45DB0" w:rsidRDefault="00B918DD" w:rsidP="00B918DD">
            <w:pPr>
              <w:spacing w:after="0" w:line="240" w:lineRule="auto"/>
              <w:jc w:val="center"/>
              <w:rPr>
                <w:rFonts w:ascii="Tahoma" w:eastAsia="Times New Roman" w:hAnsi="Tahoma" w:cs="Tahoma"/>
                <w:color w:val="000000"/>
                <w:sz w:val="20"/>
                <w:szCs w:val="20"/>
                <w:lang w:eastAsia="pl-PL"/>
              </w:rPr>
            </w:pPr>
            <w:r w:rsidRPr="001073E9">
              <w:t xml:space="preserve">59,9% — </w:t>
            </w:r>
          </w:p>
        </w:tc>
        <w:tc>
          <w:tcPr>
            <w:tcW w:w="3036" w:type="dxa"/>
            <w:tcBorders>
              <w:top w:val="single" w:sz="4" w:space="0" w:color="95B3D7"/>
              <w:left w:val="nil"/>
              <w:bottom w:val="single" w:sz="4" w:space="0" w:color="95B3D7"/>
              <w:right w:val="nil"/>
            </w:tcBorders>
            <w:noWrap/>
            <w:hideMark/>
          </w:tcPr>
          <w:p w14:paraId="6C4C3408" w14:textId="6FA825E7" w:rsidR="00B918DD" w:rsidRPr="00A45DB0" w:rsidRDefault="00B918DD" w:rsidP="00B918DD">
            <w:pPr>
              <w:spacing w:after="0" w:line="240" w:lineRule="auto"/>
              <w:jc w:val="center"/>
              <w:rPr>
                <w:rFonts w:ascii="Tahoma" w:eastAsia="Times New Roman" w:hAnsi="Tahoma" w:cs="Tahoma"/>
                <w:color w:val="000000"/>
                <w:sz w:val="20"/>
                <w:szCs w:val="20"/>
                <w:lang w:eastAsia="pl-PL"/>
              </w:rPr>
            </w:pPr>
            <w:r w:rsidRPr="001073E9">
              <w:t>1</w:t>
            </w:r>
          </w:p>
        </w:tc>
        <w:tc>
          <w:tcPr>
            <w:tcW w:w="3488" w:type="dxa"/>
            <w:tcBorders>
              <w:top w:val="single" w:sz="4" w:space="0" w:color="95B3D7"/>
              <w:left w:val="nil"/>
              <w:bottom w:val="single" w:sz="4" w:space="0" w:color="95B3D7"/>
              <w:right w:val="single" w:sz="4" w:space="0" w:color="95B3D7"/>
            </w:tcBorders>
            <w:noWrap/>
            <w:hideMark/>
          </w:tcPr>
          <w:p w14:paraId="4274FA09" w14:textId="719BBE75" w:rsidR="00B918DD" w:rsidRPr="00A45DB0" w:rsidRDefault="00B918DD" w:rsidP="00B918DD">
            <w:pPr>
              <w:spacing w:after="0" w:line="240" w:lineRule="auto"/>
              <w:jc w:val="center"/>
              <w:rPr>
                <w:rFonts w:ascii="Tahoma" w:eastAsia="Times New Roman" w:hAnsi="Tahoma" w:cs="Tahoma"/>
                <w:color w:val="000000"/>
                <w:sz w:val="20"/>
                <w:szCs w:val="20"/>
                <w:lang w:eastAsia="pl-PL"/>
              </w:rPr>
            </w:pPr>
            <w:r w:rsidRPr="001073E9">
              <w:t>3</w:t>
            </w:r>
          </w:p>
        </w:tc>
      </w:tr>
    </w:tbl>
    <w:p w14:paraId="2545A063" w14:textId="77777777" w:rsidR="00A45DB0" w:rsidRDefault="00A45DB0" w:rsidP="00A730BE">
      <w:pPr>
        <w:spacing w:after="0"/>
        <w:rPr>
          <w:rFonts w:cstheme="minorHAnsi"/>
        </w:rPr>
      </w:pPr>
    </w:p>
    <w:p w14:paraId="699902FC" w14:textId="77777777" w:rsidR="00A7392A" w:rsidRPr="00C75DD7" w:rsidRDefault="0053756E" w:rsidP="00244D55">
      <w:pPr>
        <w:keepNext/>
        <w:shd w:val="clear" w:color="auto" w:fill="FFFFFF"/>
        <w:spacing w:before="312" w:after="120" w:line="240" w:lineRule="auto"/>
        <w:rPr>
          <w:rFonts w:eastAsia="Times New Roman" w:cstheme="minorHAnsi"/>
          <w:b/>
          <w:iCs/>
          <w:color w:val="000000"/>
          <w:szCs w:val="20"/>
          <w:lang w:eastAsia="pl-PL"/>
        </w:rPr>
      </w:pPr>
      <w:r w:rsidRPr="00C75DD7">
        <w:rPr>
          <w:rFonts w:eastAsia="Times New Roman" w:cstheme="minorHAnsi"/>
          <w:b/>
          <w:iCs/>
          <w:color w:val="000000"/>
          <w:szCs w:val="20"/>
          <w:lang w:eastAsia="pl-PL"/>
        </w:rPr>
        <w:t xml:space="preserve">Wskaźnik pokrycia wypływów netto (LCR) </w:t>
      </w:r>
    </w:p>
    <w:p w14:paraId="7575F7DE" w14:textId="77777777" w:rsidR="00F70792" w:rsidRDefault="00F70792">
      <w:pPr>
        <w:rPr>
          <w:rFonts w:cstheme="minorHAnsi"/>
          <w:highlight w:val="yellow"/>
        </w:rPr>
      </w:pPr>
    </w:p>
    <w:tbl>
      <w:tblPr>
        <w:tblW w:w="12468" w:type="dxa"/>
        <w:tblCellMar>
          <w:left w:w="70" w:type="dxa"/>
          <w:right w:w="70" w:type="dxa"/>
        </w:tblCellMar>
        <w:tblLook w:val="04A0" w:firstRow="1" w:lastRow="0" w:firstColumn="1" w:lastColumn="0" w:noHBand="0" w:noVBand="1"/>
      </w:tblPr>
      <w:tblGrid>
        <w:gridCol w:w="2308"/>
        <w:gridCol w:w="3636"/>
        <w:gridCol w:w="3036"/>
        <w:gridCol w:w="3488"/>
      </w:tblGrid>
      <w:tr w:rsidR="00A45DB0" w:rsidRPr="00A45DB0" w14:paraId="28344B15" w14:textId="77777777" w:rsidTr="00A45DB0">
        <w:trPr>
          <w:trHeight w:val="255"/>
        </w:trPr>
        <w:tc>
          <w:tcPr>
            <w:tcW w:w="2308" w:type="dxa"/>
            <w:tcBorders>
              <w:top w:val="single" w:sz="4" w:space="0" w:color="95B3D7"/>
              <w:left w:val="single" w:sz="4" w:space="0" w:color="95B3D7"/>
              <w:bottom w:val="single" w:sz="4" w:space="0" w:color="95B3D7"/>
              <w:right w:val="nil"/>
            </w:tcBorders>
            <w:shd w:val="clear" w:color="4F81BD" w:fill="4F81BD"/>
            <w:noWrap/>
            <w:vAlign w:val="bottom"/>
            <w:hideMark/>
          </w:tcPr>
          <w:p w14:paraId="1BE45E07" w14:textId="77777777" w:rsidR="00A45DB0" w:rsidRPr="00A45DB0" w:rsidRDefault="00A45DB0" w:rsidP="00A45DB0">
            <w:pPr>
              <w:spacing w:after="0" w:line="240" w:lineRule="auto"/>
              <w:jc w:val="center"/>
              <w:rPr>
                <w:rFonts w:ascii="Tahoma" w:eastAsia="Times New Roman" w:hAnsi="Tahoma" w:cs="Tahoma"/>
                <w:b/>
                <w:bCs/>
                <w:color w:val="FFFFFF"/>
                <w:sz w:val="20"/>
                <w:szCs w:val="20"/>
                <w:lang w:eastAsia="pl-PL"/>
              </w:rPr>
            </w:pPr>
            <w:r w:rsidRPr="00A45DB0">
              <w:rPr>
                <w:rFonts w:ascii="Tahoma" w:eastAsia="Times New Roman" w:hAnsi="Tahoma" w:cs="Tahoma"/>
                <w:b/>
                <w:bCs/>
                <w:color w:val="FFFFFF"/>
                <w:sz w:val="20"/>
                <w:szCs w:val="20"/>
                <w:lang w:eastAsia="pl-PL"/>
              </w:rPr>
              <w:t>Numer przedziału</w:t>
            </w:r>
          </w:p>
        </w:tc>
        <w:tc>
          <w:tcPr>
            <w:tcW w:w="3636" w:type="dxa"/>
            <w:tcBorders>
              <w:top w:val="single" w:sz="4" w:space="0" w:color="95B3D7"/>
              <w:left w:val="nil"/>
              <w:bottom w:val="single" w:sz="4" w:space="0" w:color="95B3D7"/>
              <w:right w:val="nil"/>
            </w:tcBorders>
            <w:shd w:val="clear" w:color="4F81BD" w:fill="4F81BD"/>
            <w:noWrap/>
            <w:vAlign w:val="bottom"/>
            <w:hideMark/>
          </w:tcPr>
          <w:p w14:paraId="22F7FB3A" w14:textId="77777777" w:rsidR="00A45DB0" w:rsidRPr="00A45DB0" w:rsidRDefault="00A45DB0" w:rsidP="00A45DB0">
            <w:pPr>
              <w:spacing w:after="0" w:line="240" w:lineRule="auto"/>
              <w:jc w:val="center"/>
              <w:rPr>
                <w:rFonts w:ascii="Tahoma" w:eastAsia="Times New Roman" w:hAnsi="Tahoma" w:cs="Tahoma"/>
                <w:b/>
                <w:bCs/>
                <w:color w:val="FFFFFF"/>
                <w:sz w:val="20"/>
                <w:szCs w:val="20"/>
                <w:lang w:eastAsia="pl-PL"/>
              </w:rPr>
            </w:pPr>
            <w:r w:rsidRPr="00A45DB0">
              <w:rPr>
                <w:rFonts w:ascii="Tahoma" w:eastAsia="Times New Roman" w:hAnsi="Tahoma" w:cs="Tahoma"/>
                <w:b/>
                <w:bCs/>
                <w:color w:val="FFFFFF"/>
                <w:sz w:val="20"/>
                <w:szCs w:val="20"/>
                <w:lang w:eastAsia="pl-PL"/>
              </w:rPr>
              <w:t>Przedziały wartości wskaźnika</w:t>
            </w:r>
          </w:p>
        </w:tc>
        <w:tc>
          <w:tcPr>
            <w:tcW w:w="3036" w:type="dxa"/>
            <w:tcBorders>
              <w:top w:val="single" w:sz="4" w:space="0" w:color="95B3D7"/>
              <w:left w:val="nil"/>
              <w:bottom w:val="single" w:sz="4" w:space="0" w:color="95B3D7"/>
              <w:right w:val="nil"/>
            </w:tcBorders>
            <w:shd w:val="clear" w:color="4F81BD" w:fill="4F81BD"/>
            <w:noWrap/>
            <w:vAlign w:val="bottom"/>
            <w:hideMark/>
          </w:tcPr>
          <w:p w14:paraId="1E6D9AE4" w14:textId="77777777" w:rsidR="00A45DB0" w:rsidRPr="00A45DB0" w:rsidRDefault="00A45DB0" w:rsidP="00A45DB0">
            <w:pPr>
              <w:spacing w:after="0" w:line="240" w:lineRule="auto"/>
              <w:jc w:val="center"/>
              <w:rPr>
                <w:rFonts w:ascii="Tahoma" w:eastAsia="Times New Roman" w:hAnsi="Tahoma" w:cs="Tahoma"/>
                <w:b/>
                <w:bCs/>
                <w:color w:val="FFFFFF"/>
                <w:sz w:val="20"/>
                <w:szCs w:val="20"/>
                <w:lang w:eastAsia="pl-PL"/>
              </w:rPr>
            </w:pPr>
            <w:r w:rsidRPr="00A45DB0">
              <w:rPr>
                <w:rFonts w:ascii="Tahoma" w:eastAsia="Times New Roman" w:hAnsi="Tahoma" w:cs="Tahoma"/>
                <w:b/>
                <w:bCs/>
                <w:color w:val="FFFFFF"/>
                <w:sz w:val="20"/>
                <w:szCs w:val="20"/>
                <w:lang w:eastAsia="pl-PL"/>
              </w:rPr>
              <w:t>Ocena ryzyka przedziału</w:t>
            </w:r>
          </w:p>
        </w:tc>
        <w:tc>
          <w:tcPr>
            <w:tcW w:w="3488" w:type="dxa"/>
            <w:tcBorders>
              <w:top w:val="single" w:sz="4" w:space="0" w:color="95B3D7"/>
              <w:left w:val="nil"/>
              <w:bottom w:val="single" w:sz="4" w:space="0" w:color="95B3D7"/>
              <w:right w:val="single" w:sz="4" w:space="0" w:color="95B3D7"/>
            </w:tcBorders>
            <w:shd w:val="clear" w:color="4F81BD" w:fill="4F81BD"/>
            <w:noWrap/>
            <w:vAlign w:val="bottom"/>
            <w:hideMark/>
          </w:tcPr>
          <w:p w14:paraId="6DDBE6DB" w14:textId="77777777" w:rsidR="00A45DB0" w:rsidRPr="00A45DB0" w:rsidRDefault="00A45DB0" w:rsidP="00A45DB0">
            <w:pPr>
              <w:spacing w:after="0" w:line="240" w:lineRule="auto"/>
              <w:jc w:val="center"/>
              <w:rPr>
                <w:rFonts w:ascii="Tahoma" w:eastAsia="Times New Roman" w:hAnsi="Tahoma" w:cs="Tahoma"/>
                <w:b/>
                <w:bCs/>
                <w:color w:val="FFFFFF"/>
                <w:sz w:val="20"/>
                <w:szCs w:val="20"/>
                <w:lang w:eastAsia="pl-PL"/>
              </w:rPr>
            </w:pPr>
            <w:r w:rsidRPr="00A45DB0">
              <w:rPr>
                <w:rFonts w:ascii="Tahoma" w:eastAsia="Times New Roman" w:hAnsi="Tahoma" w:cs="Tahoma"/>
                <w:b/>
                <w:bCs/>
                <w:color w:val="FFFFFF"/>
                <w:sz w:val="20"/>
                <w:szCs w:val="20"/>
                <w:lang w:eastAsia="pl-PL"/>
              </w:rPr>
              <w:t>Liczba instytucji w przedziale</w:t>
            </w:r>
          </w:p>
        </w:tc>
      </w:tr>
      <w:tr w:rsidR="00B918DD" w:rsidRPr="00A45DB0" w14:paraId="7AA63972" w14:textId="77777777" w:rsidTr="00FB439B">
        <w:trPr>
          <w:trHeight w:val="255"/>
        </w:trPr>
        <w:tc>
          <w:tcPr>
            <w:tcW w:w="2308" w:type="dxa"/>
            <w:tcBorders>
              <w:top w:val="single" w:sz="4" w:space="0" w:color="95B3D7"/>
              <w:left w:val="single" w:sz="4" w:space="0" w:color="95B3D7"/>
              <w:bottom w:val="single" w:sz="4" w:space="0" w:color="95B3D7"/>
              <w:right w:val="nil"/>
            </w:tcBorders>
            <w:shd w:val="clear" w:color="DCE6F1" w:fill="DCE6F1"/>
            <w:noWrap/>
            <w:vAlign w:val="bottom"/>
            <w:hideMark/>
          </w:tcPr>
          <w:p w14:paraId="79313147" w14:textId="77777777" w:rsidR="00B918DD" w:rsidRPr="00A45DB0" w:rsidRDefault="00B918DD" w:rsidP="00B918DD">
            <w:pPr>
              <w:spacing w:after="0" w:line="240" w:lineRule="auto"/>
              <w:jc w:val="center"/>
              <w:rPr>
                <w:rFonts w:ascii="Tahoma" w:eastAsia="Times New Roman" w:hAnsi="Tahoma" w:cs="Tahoma"/>
                <w:color w:val="000000"/>
                <w:sz w:val="20"/>
                <w:szCs w:val="20"/>
                <w:lang w:eastAsia="pl-PL"/>
              </w:rPr>
            </w:pPr>
            <w:r w:rsidRPr="00A45DB0">
              <w:rPr>
                <w:rFonts w:ascii="Tahoma" w:eastAsia="Times New Roman" w:hAnsi="Tahoma" w:cs="Tahoma"/>
                <w:color w:val="000000"/>
                <w:sz w:val="20"/>
                <w:szCs w:val="20"/>
                <w:lang w:eastAsia="pl-PL"/>
              </w:rPr>
              <w:t>1</w:t>
            </w:r>
          </w:p>
        </w:tc>
        <w:tc>
          <w:tcPr>
            <w:tcW w:w="3636" w:type="dxa"/>
            <w:tcBorders>
              <w:top w:val="single" w:sz="4" w:space="0" w:color="95B3D7"/>
              <w:left w:val="nil"/>
              <w:bottom w:val="single" w:sz="4" w:space="0" w:color="95B3D7"/>
              <w:right w:val="nil"/>
            </w:tcBorders>
            <w:shd w:val="clear" w:color="DCE6F1" w:fill="DCE6F1"/>
            <w:noWrap/>
            <w:hideMark/>
          </w:tcPr>
          <w:p w14:paraId="6F3C6A06" w14:textId="3ABEF71B" w:rsidR="00B918DD" w:rsidRPr="00A45DB0" w:rsidRDefault="00B918DD" w:rsidP="00B918DD">
            <w:pPr>
              <w:spacing w:after="0" w:line="240" w:lineRule="auto"/>
              <w:jc w:val="center"/>
              <w:rPr>
                <w:rFonts w:ascii="Tahoma" w:eastAsia="Times New Roman" w:hAnsi="Tahoma" w:cs="Tahoma"/>
                <w:color w:val="000000"/>
                <w:sz w:val="20"/>
                <w:szCs w:val="20"/>
                <w:lang w:eastAsia="pl-PL"/>
              </w:rPr>
            </w:pPr>
            <w:r w:rsidRPr="007C55BF">
              <w:t xml:space="preserve"> — 201,5%</w:t>
            </w:r>
          </w:p>
        </w:tc>
        <w:tc>
          <w:tcPr>
            <w:tcW w:w="3036" w:type="dxa"/>
            <w:tcBorders>
              <w:top w:val="single" w:sz="4" w:space="0" w:color="95B3D7"/>
              <w:left w:val="nil"/>
              <w:bottom w:val="single" w:sz="4" w:space="0" w:color="95B3D7"/>
              <w:right w:val="nil"/>
            </w:tcBorders>
            <w:shd w:val="clear" w:color="DCE6F1" w:fill="DCE6F1"/>
            <w:noWrap/>
            <w:hideMark/>
          </w:tcPr>
          <w:p w14:paraId="7BBC647B" w14:textId="56BFFB6B" w:rsidR="00B918DD" w:rsidRPr="00A45DB0" w:rsidRDefault="00B918DD" w:rsidP="00B918DD">
            <w:pPr>
              <w:spacing w:after="0" w:line="240" w:lineRule="auto"/>
              <w:jc w:val="center"/>
              <w:rPr>
                <w:rFonts w:ascii="Tahoma" w:eastAsia="Times New Roman" w:hAnsi="Tahoma" w:cs="Tahoma"/>
                <w:color w:val="000000"/>
                <w:sz w:val="20"/>
                <w:szCs w:val="20"/>
                <w:lang w:eastAsia="pl-PL"/>
              </w:rPr>
            </w:pPr>
            <w:r w:rsidRPr="007C55BF">
              <w:t>1</w:t>
            </w:r>
          </w:p>
        </w:tc>
        <w:tc>
          <w:tcPr>
            <w:tcW w:w="3488" w:type="dxa"/>
            <w:tcBorders>
              <w:top w:val="single" w:sz="4" w:space="0" w:color="95B3D7"/>
              <w:left w:val="nil"/>
              <w:bottom w:val="single" w:sz="4" w:space="0" w:color="95B3D7"/>
              <w:right w:val="single" w:sz="4" w:space="0" w:color="95B3D7"/>
            </w:tcBorders>
            <w:shd w:val="clear" w:color="DCE6F1" w:fill="DCE6F1"/>
            <w:noWrap/>
            <w:hideMark/>
          </w:tcPr>
          <w:p w14:paraId="0567D014" w14:textId="5B43300A" w:rsidR="00B918DD" w:rsidRPr="00A45DB0" w:rsidRDefault="00B918DD" w:rsidP="00B918DD">
            <w:pPr>
              <w:spacing w:after="0" w:line="240" w:lineRule="auto"/>
              <w:jc w:val="center"/>
              <w:rPr>
                <w:rFonts w:ascii="Tahoma" w:eastAsia="Times New Roman" w:hAnsi="Tahoma" w:cs="Tahoma"/>
                <w:color w:val="000000"/>
                <w:sz w:val="20"/>
                <w:szCs w:val="20"/>
                <w:lang w:eastAsia="pl-PL"/>
              </w:rPr>
            </w:pPr>
            <w:r w:rsidRPr="007C55BF">
              <w:t>3</w:t>
            </w:r>
          </w:p>
        </w:tc>
      </w:tr>
      <w:tr w:rsidR="00B918DD" w:rsidRPr="00A45DB0" w14:paraId="12853EBB" w14:textId="77777777" w:rsidTr="00FB439B">
        <w:trPr>
          <w:trHeight w:val="255"/>
        </w:trPr>
        <w:tc>
          <w:tcPr>
            <w:tcW w:w="2308" w:type="dxa"/>
            <w:tcBorders>
              <w:top w:val="single" w:sz="4" w:space="0" w:color="95B3D7"/>
              <w:left w:val="single" w:sz="4" w:space="0" w:color="95B3D7"/>
              <w:bottom w:val="single" w:sz="4" w:space="0" w:color="95B3D7"/>
              <w:right w:val="nil"/>
            </w:tcBorders>
            <w:noWrap/>
            <w:vAlign w:val="bottom"/>
            <w:hideMark/>
          </w:tcPr>
          <w:p w14:paraId="55F6D4BB" w14:textId="77777777" w:rsidR="00B918DD" w:rsidRPr="00A45DB0" w:rsidRDefault="00B918DD" w:rsidP="00B918DD">
            <w:pPr>
              <w:spacing w:after="0" w:line="240" w:lineRule="auto"/>
              <w:jc w:val="center"/>
              <w:rPr>
                <w:rFonts w:ascii="Tahoma" w:eastAsia="Times New Roman" w:hAnsi="Tahoma" w:cs="Tahoma"/>
                <w:color w:val="000000"/>
                <w:sz w:val="20"/>
                <w:szCs w:val="20"/>
                <w:lang w:eastAsia="pl-PL"/>
              </w:rPr>
            </w:pPr>
            <w:r w:rsidRPr="00A45DB0">
              <w:rPr>
                <w:rFonts w:ascii="Tahoma" w:eastAsia="Times New Roman" w:hAnsi="Tahoma" w:cs="Tahoma"/>
                <w:color w:val="000000"/>
                <w:sz w:val="20"/>
                <w:szCs w:val="20"/>
                <w:lang w:eastAsia="pl-PL"/>
              </w:rPr>
              <w:t>2</w:t>
            </w:r>
          </w:p>
        </w:tc>
        <w:tc>
          <w:tcPr>
            <w:tcW w:w="3636" w:type="dxa"/>
            <w:tcBorders>
              <w:top w:val="single" w:sz="4" w:space="0" w:color="95B3D7"/>
              <w:left w:val="nil"/>
              <w:bottom w:val="single" w:sz="4" w:space="0" w:color="95B3D7"/>
              <w:right w:val="nil"/>
            </w:tcBorders>
            <w:noWrap/>
            <w:hideMark/>
          </w:tcPr>
          <w:p w14:paraId="794BEFC2" w14:textId="24A78284" w:rsidR="00B918DD" w:rsidRPr="00A45DB0" w:rsidRDefault="00B918DD" w:rsidP="00B918DD">
            <w:pPr>
              <w:spacing w:after="0" w:line="240" w:lineRule="auto"/>
              <w:jc w:val="center"/>
              <w:rPr>
                <w:rFonts w:ascii="Tahoma" w:eastAsia="Times New Roman" w:hAnsi="Tahoma" w:cs="Tahoma"/>
                <w:color w:val="000000"/>
                <w:sz w:val="20"/>
                <w:szCs w:val="20"/>
                <w:lang w:eastAsia="pl-PL"/>
              </w:rPr>
            </w:pPr>
            <w:r w:rsidRPr="007C55BF">
              <w:t>201,5% — 220,3%</w:t>
            </w:r>
          </w:p>
        </w:tc>
        <w:tc>
          <w:tcPr>
            <w:tcW w:w="3036" w:type="dxa"/>
            <w:tcBorders>
              <w:top w:val="single" w:sz="4" w:space="0" w:color="95B3D7"/>
              <w:left w:val="nil"/>
              <w:bottom w:val="single" w:sz="4" w:space="0" w:color="95B3D7"/>
              <w:right w:val="nil"/>
            </w:tcBorders>
            <w:noWrap/>
            <w:hideMark/>
          </w:tcPr>
          <w:p w14:paraId="7139DFE8" w14:textId="3C3A45A3" w:rsidR="00B918DD" w:rsidRPr="00A45DB0" w:rsidRDefault="00B918DD" w:rsidP="00B918DD">
            <w:pPr>
              <w:spacing w:after="0" w:line="240" w:lineRule="auto"/>
              <w:jc w:val="center"/>
              <w:rPr>
                <w:rFonts w:ascii="Tahoma" w:eastAsia="Times New Roman" w:hAnsi="Tahoma" w:cs="Tahoma"/>
                <w:color w:val="000000"/>
                <w:sz w:val="20"/>
                <w:szCs w:val="20"/>
                <w:lang w:eastAsia="pl-PL"/>
              </w:rPr>
            </w:pPr>
            <w:r w:rsidRPr="007C55BF">
              <w:t>125,875</w:t>
            </w:r>
          </w:p>
        </w:tc>
        <w:tc>
          <w:tcPr>
            <w:tcW w:w="3488" w:type="dxa"/>
            <w:tcBorders>
              <w:top w:val="single" w:sz="4" w:space="0" w:color="95B3D7"/>
              <w:left w:val="nil"/>
              <w:bottom w:val="single" w:sz="4" w:space="0" w:color="95B3D7"/>
              <w:right w:val="single" w:sz="4" w:space="0" w:color="95B3D7"/>
            </w:tcBorders>
            <w:noWrap/>
            <w:hideMark/>
          </w:tcPr>
          <w:p w14:paraId="544FBFFD" w14:textId="49760706" w:rsidR="00B918DD" w:rsidRPr="00A45DB0" w:rsidRDefault="00B918DD" w:rsidP="00B918DD">
            <w:pPr>
              <w:spacing w:after="0" w:line="240" w:lineRule="auto"/>
              <w:jc w:val="center"/>
              <w:rPr>
                <w:rFonts w:ascii="Tahoma" w:eastAsia="Times New Roman" w:hAnsi="Tahoma" w:cs="Tahoma"/>
                <w:color w:val="000000"/>
                <w:sz w:val="20"/>
                <w:szCs w:val="20"/>
                <w:lang w:eastAsia="pl-PL"/>
              </w:rPr>
            </w:pPr>
            <w:r w:rsidRPr="007C55BF">
              <w:t>4</w:t>
            </w:r>
          </w:p>
        </w:tc>
      </w:tr>
      <w:tr w:rsidR="00B918DD" w:rsidRPr="00A45DB0" w14:paraId="616976D0" w14:textId="77777777" w:rsidTr="00FB439B">
        <w:trPr>
          <w:trHeight w:val="255"/>
        </w:trPr>
        <w:tc>
          <w:tcPr>
            <w:tcW w:w="2308" w:type="dxa"/>
            <w:tcBorders>
              <w:top w:val="single" w:sz="4" w:space="0" w:color="95B3D7"/>
              <w:left w:val="single" w:sz="4" w:space="0" w:color="95B3D7"/>
              <w:bottom w:val="single" w:sz="4" w:space="0" w:color="95B3D7"/>
              <w:right w:val="nil"/>
            </w:tcBorders>
            <w:shd w:val="clear" w:color="DCE6F1" w:fill="DCE6F1"/>
            <w:noWrap/>
            <w:vAlign w:val="bottom"/>
            <w:hideMark/>
          </w:tcPr>
          <w:p w14:paraId="1CC43C0A" w14:textId="77777777" w:rsidR="00B918DD" w:rsidRPr="00A45DB0" w:rsidRDefault="00B918DD" w:rsidP="00B918DD">
            <w:pPr>
              <w:spacing w:after="0" w:line="240" w:lineRule="auto"/>
              <w:jc w:val="center"/>
              <w:rPr>
                <w:rFonts w:ascii="Tahoma" w:eastAsia="Times New Roman" w:hAnsi="Tahoma" w:cs="Tahoma"/>
                <w:color w:val="000000"/>
                <w:sz w:val="20"/>
                <w:szCs w:val="20"/>
                <w:lang w:eastAsia="pl-PL"/>
              </w:rPr>
            </w:pPr>
            <w:r w:rsidRPr="00A45DB0">
              <w:rPr>
                <w:rFonts w:ascii="Tahoma" w:eastAsia="Times New Roman" w:hAnsi="Tahoma" w:cs="Tahoma"/>
                <w:color w:val="000000"/>
                <w:sz w:val="20"/>
                <w:szCs w:val="20"/>
                <w:lang w:eastAsia="pl-PL"/>
              </w:rPr>
              <w:t>3</w:t>
            </w:r>
          </w:p>
        </w:tc>
        <w:tc>
          <w:tcPr>
            <w:tcW w:w="3636" w:type="dxa"/>
            <w:tcBorders>
              <w:top w:val="single" w:sz="4" w:space="0" w:color="95B3D7"/>
              <w:left w:val="nil"/>
              <w:bottom w:val="single" w:sz="4" w:space="0" w:color="95B3D7"/>
              <w:right w:val="nil"/>
            </w:tcBorders>
            <w:shd w:val="clear" w:color="DCE6F1" w:fill="DCE6F1"/>
            <w:noWrap/>
            <w:hideMark/>
          </w:tcPr>
          <w:p w14:paraId="2F4016A3" w14:textId="06738D30" w:rsidR="00B918DD" w:rsidRPr="00A45DB0" w:rsidRDefault="00B918DD" w:rsidP="00B918DD">
            <w:pPr>
              <w:spacing w:after="0" w:line="240" w:lineRule="auto"/>
              <w:jc w:val="center"/>
              <w:rPr>
                <w:rFonts w:ascii="Tahoma" w:eastAsia="Times New Roman" w:hAnsi="Tahoma" w:cs="Tahoma"/>
                <w:color w:val="000000"/>
                <w:sz w:val="20"/>
                <w:szCs w:val="20"/>
                <w:lang w:eastAsia="pl-PL"/>
              </w:rPr>
            </w:pPr>
            <w:r w:rsidRPr="007C55BF">
              <w:t>220,3% — 223,9%</w:t>
            </w:r>
          </w:p>
        </w:tc>
        <w:tc>
          <w:tcPr>
            <w:tcW w:w="3036" w:type="dxa"/>
            <w:tcBorders>
              <w:top w:val="single" w:sz="4" w:space="0" w:color="95B3D7"/>
              <w:left w:val="nil"/>
              <w:bottom w:val="single" w:sz="4" w:space="0" w:color="95B3D7"/>
              <w:right w:val="nil"/>
            </w:tcBorders>
            <w:shd w:val="clear" w:color="DCE6F1" w:fill="DCE6F1"/>
            <w:noWrap/>
            <w:hideMark/>
          </w:tcPr>
          <w:p w14:paraId="48B13E3C" w14:textId="7623220D" w:rsidR="00B918DD" w:rsidRPr="00A45DB0" w:rsidRDefault="00B918DD" w:rsidP="00B918DD">
            <w:pPr>
              <w:spacing w:after="0" w:line="240" w:lineRule="auto"/>
              <w:jc w:val="center"/>
              <w:rPr>
                <w:rFonts w:ascii="Tahoma" w:eastAsia="Times New Roman" w:hAnsi="Tahoma" w:cs="Tahoma"/>
                <w:color w:val="000000"/>
                <w:sz w:val="20"/>
                <w:szCs w:val="20"/>
                <w:lang w:eastAsia="pl-PL"/>
              </w:rPr>
            </w:pPr>
            <w:r w:rsidRPr="007C55BF">
              <w:t>250,75</w:t>
            </w:r>
          </w:p>
        </w:tc>
        <w:tc>
          <w:tcPr>
            <w:tcW w:w="3488" w:type="dxa"/>
            <w:tcBorders>
              <w:top w:val="single" w:sz="4" w:space="0" w:color="95B3D7"/>
              <w:left w:val="nil"/>
              <w:bottom w:val="single" w:sz="4" w:space="0" w:color="95B3D7"/>
              <w:right w:val="single" w:sz="4" w:space="0" w:color="95B3D7"/>
            </w:tcBorders>
            <w:shd w:val="clear" w:color="DCE6F1" w:fill="DCE6F1"/>
            <w:noWrap/>
            <w:hideMark/>
          </w:tcPr>
          <w:p w14:paraId="52AD6787" w14:textId="34C46E18" w:rsidR="00B918DD" w:rsidRPr="00A45DB0" w:rsidRDefault="00B918DD" w:rsidP="00B918DD">
            <w:pPr>
              <w:spacing w:after="0" w:line="240" w:lineRule="auto"/>
              <w:jc w:val="center"/>
              <w:rPr>
                <w:rFonts w:ascii="Tahoma" w:eastAsia="Times New Roman" w:hAnsi="Tahoma" w:cs="Tahoma"/>
                <w:color w:val="000000"/>
                <w:sz w:val="20"/>
                <w:szCs w:val="20"/>
                <w:lang w:eastAsia="pl-PL"/>
              </w:rPr>
            </w:pPr>
            <w:r w:rsidRPr="007C55BF">
              <w:t>2</w:t>
            </w:r>
          </w:p>
        </w:tc>
      </w:tr>
      <w:tr w:rsidR="00B918DD" w:rsidRPr="00A45DB0" w14:paraId="1B37B18E" w14:textId="77777777" w:rsidTr="00FB439B">
        <w:trPr>
          <w:trHeight w:val="255"/>
        </w:trPr>
        <w:tc>
          <w:tcPr>
            <w:tcW w:w="2308" w:type="dxa"/>
            <w:tcBorders>
              <w:top w:val="single" w:sz="4" w:space="0" w:color="95B3D7"/>
              <w:left w:val="single" w:sz="4" w:space="0" w:color="95B3D7"/>
              <w:bottom w:val="single" w:sz="4" w:space="0" w:color="95B3D7"/>
              <w:right w:val="nil"/>
            </w:tcBorders>
            <w:noWrap/>
            <w:vAlign w:val="bottom"/>
            <w:hideMark/>
          </w:tcPr>
          <w:p w14:paraId="2600026C" w14:textId="77777777" w:rsidR="00B918DD" w:rsidRPr="00A45DB0" w:rsidRDefault="00B918DD" w:rsidP="00B918DD">
            <w:pPr>
              <w:spacing w:after="0" w:line="240" w:lineRule="auto"/>
              <w:jc w:val="center"/>
              <w:rPr>
                <w:rFonts w:ascii="Tahoma" w:eastAsia="Times New Roman" w:hAnsi="Tahoma" w:cs="Tahoma"/>
                <w:color w:val="000000"/>
                <w:sz w:val="20"/>
                <w:szCs w:val="20"/>
                <w:lang w:eastAsia="pl-PL"/>
              </w:rPr>
            </w:pPr>
            <w:r w:rsidRPr="00A45DB0">
              <w:rPr>
                <w:rFonts w:ascii="Tahoma" w:eastAsia="Times New Roman" w:hAnsi="Tahoma" w:cs="Tahoma"/>
                <w:color w:val="000000"/>
                <w:sz w:val="20"/>
                <w:szCs w:val="20"/>
                <w:lang w:eastAsia="pl-PL"/>
              </w:rPr>
              <w:t>4</w:t>
            </w:r>
          </w:p>
        </w:tc>
        <w:tc>
          <w:tcPr>
            <w:tcW w:w="3636" w:type="dxa"/>
            <w:tcBorders>
              <w:top w:val="single" w:sz="4" w:space="0" w:color="95B3D7"/>
              <w:left w:val="nil"/>
              <w:bottom w:val="single" w:sz="4" w:space="0" w:color="95B3D7"/>
              <w:right w:val="nil"/>
            </w:tcBorders>
            <w:noWrap/>
            <w:hideMark/>
          </w:tcPr>
          <w:p w14:paraId="6969C28C" w14:textId="63AC47D2" w:rsidR="00B918DD" w:rsidRPr="00A45DB0" w:rsidRDefault="00B918DD" w:rsidP="00B918DD">
            <w:pPr>
              <w:spacing w:after="0" w:line="240" w:lineRule="auto"/>
              <w:jc w:val="center"/>
              <w:rPr>
                <w:rFonts w:ascii="Tahoma" w:eastAsia="Times New Roman" w:hAnsi="Tahoma" w:cs="Tahoma"/>
                <w:color w:val="000000"/>
                <w:sz w:val="20"/>
                <w:szCs w:val="20"/>
                <w:lang w:eastAsia="pl-PL"/>
              </w:rPr>
            </w:pPr>
            <w:r w:rsidRPr="007C55BF">
              <w:t>223,9% — 258,3%</w:t>
            </w:r>
          </w:p>
        </w:tc>
        <w:tc>
          <w:tcPr>
            <w:tcW w:w="3036" w:type="dxa"/>
            <w:tcBorders>
              <w:top w:val="single" w:sz="4" w:space="0" w:color="95B3D7"/>
              <w:left w:val="nil"/>
              <w:bottom w:val="single" w:sz="4" w:space="0" w:color="95B3D7"/>
              <w:right w:val="nil"/>
            </w:tcBorders>
            <w:noWrap/>
            <w:hideMark/>
          </w:tcPr>
          <w:p w14:paraId="1959627B" w14:textId="7E44DBC5" w:rsidR="00B918DD" w:rsidRPr="00A45DB0" w:rsidRDefault="00B918DD" w:rsidP="00B918DD">
            <w:pPr>
              <w:spacing w:after="0" w:line="240" w:lineRule="auto"/>
              <w:jc w:val="center"/>
              <w:rPr>
                <w:rFonts w:ascii="Tahoma" w:eastAsia="Times New Roman" w:hAnsi="Tahoma" w:cs="Tahoma"/>
                <w:color w:val="000000"/>
                <w:sz w:val="20"/>
                <w:szCs w:val="20"/>
                <w:lang w:eastAsia="pl-PL"/>
              </w:rPr>
            </w:pPr>
            <w:r w:rsidRPr="007C55BF">
              <w:t>375,625</w:t>
            </w:r>
          </w:p>
        </w:tc>
        <w:tc>
          <w:tcPr>
            <w:tcW w:w="3488" w:type="dxa"/>
            <w:tcBorders>
              <w:top w:val="single" w:sz="4" w:space="0" w:color="95B3D7"/>
              <w:left w:val="nil"/>
              <w:bottom w:val="single" w:sz="4" w:space="0" w:color="95B3D7"/>
              <w:right w:val="single" w:sz="4" w:space="0" w:color="95B3D7"/>
            </w:tcBorders>
            <w:noWrap/>
            <w:hideMark/>
          </w:tcPr>
          <w:p w14:paraId="1523D88F" w14:textId="2A4D01F8" w:rsidR="00B918DD" w:rsidRPr="00A45DB0" w:rsidRDefault="00B918DD" w:rsidP="00B918DD">
            <w:pPr>
              <w:spacing w:after="0" w:line="240" w:lineRule="auto"/>
              <w:jc w:val="center"/>
              <w:rPr>
                <w:rFonts w:ascii="Tahoma" w:eastAsia="Times New Roman" w:hAnsi="Tahoma" w:cs="Tahoma"/>
                <w:color w:val="000000"/>
                <w:sz w:val="20"/>
                <w:szCs w:val="20"/>
                <w:lang w:eastAsia="pl-PL"/>
              </w:rPr>
            </w:pPr>
            <w:r w:rsidRPr="007C55BF">
              <w:t>3</w:t>
            </w:r>
          </w:p>
        </w:tc>
      </w:tr>
      <w:tr w:rsidR="00B918DD" w:rsidRPr="00A45DB0" w14:paraId="6A3732C9" w14:textId="77777777" w:rsidTr="00FB439B">
        <w:trPr>
          <w:trHeight w:val="255"/>
        </w:trPr>
        <w:tc>
          <w:tcPr>
            <w:tcW w:w="2308" w:type="dxa"/>
            <w:tcBorders>
              <w:top w:val="single" w:sz="4" w:space="0" w:color="95B3D7"/>
              <w:left w:val="single" w:sz="4" w:space="0" w:color="95B3D7"/>
              <w:bottom w:val="single" w:sz="4" w:space="0" w:color="95B3D7"/>
              <w:right w:val="nil"/>
            </w:tcBorders>
            <w:shd w:val="clear" w:color="DCE6F1" w:fill="DCE6F1"/>
            <w:noWrap/>
            <w:vAlign w:val="bottom"/>
            <w:hideMark/>
          </w:tcPr>
          <w:p w14:paraId="42A352A0" w14:textId="77777777" w:rsidR="00B918DD" w:rsidRPr="00A45DB0" w:rsidRDefault="00B918DD" w:rsidP="00B918DD">
            <w:pPr>
              <w:spacing w:after="0" w:line="240" w:lineRule="auto"/>
              <w:jc w:val="center"/>
              <w:rPr>
                <w:rFonts w:ascii="Tahoma" w:eastAsia="Times New Roman" w:hAnsi="Tahoma" w:cs="Tahoma"/>
                <w:color w:val="000000"/>
                <w:sz w:val="20"/>
                <w:szCs w:val="20"/>
                <w:lang w:eastAsia="pl-PL"/>
              </w:rPr>
            </w:pPr>
            <w:r w:rsidRPr="00A45DB0">
              <w:rPr>
                <w:rFonts w:ascii="Tahoma" w:eastAsia="Times New Roman" w:hAnsi="Tahoma" w:cs="Tahoma"/>
                <w:color w:val="000000"/>
                <w:sz w:val="20"/>
                <w:szCs w:val="20"/>
                <w:lang w:eastAsia="pl-PL"/>
              </w:rPr>
              <w:t>5</w:t>
            </w:r>
          </w:p>
        </w:tc>
        <w:tc>
          <w:tcPr>
            <w:tcW w:w="3636" w:type="dxa"/>
            <w:tcBorders>
              <w:top w:val="single" w:sz="4" w:space="0" w:color="95B3D7"/>
              <w:left w:val="nil"/>
              <w:bottom w:val="single" w:sz="4" w:space="0" w:color="95B3D7"/>
              <w:right w:val="nil"/>
            </w:tcBorders>
            <w:shd w:val="clear" w:color="DCE6F1" w:fill="DCE6F1"/>
            <w:noWrap/>
            <w:hideMark/>
          </w:tcPr>
          <w:p w14:paraId="0EA5AD41" w14:textId="32EA5D15" w:rsidR="00B918DD" w:rsidRPr="00A45DB0" w:rsidRDefault="00B918DD" w:rsidP="00B918DD">
            <w:pPr>
              <w:spacing w:after="0" w:line="240" w:lineRule="auto"/>
              <w:jc w:val="center"/>
              <w:rPr>
                <w:rFonts w:ascii="Tahoma" w:eastAsia="Times New Roman" w:hAnsi="Tahoma" w:cs="Tahoma"/>
                <w:color w:val="000000"/>
                <w:sz w:val="20"/>
                <w:szCs w:val="20"/>
                <w:lang w:eastAsia="pl-PL"/>
              </w:rPr>
            </w:pPr>
            <w:r w:rsidRPr="007C55BF">
              <w:t>258,3% — 337,8%</w:t>
            </w:r>
          </w:p>
        </w:tc>
        <w:tc>
          <w:tcPr>
            <w:tcW w:w="3036" w:type="dxa"/>
            <w:tcBorders>
              <w:top w:val="single" w:sz="4" w:space="0" w:color="95B3D7"/>
              <w:left w:val="nil"/>
              <w:bottom w:val="single" w:sz="4" w:space="0" w:color="95B3D7"/>
              <w:right w:val="nil"/>
            </w:tcBorders>
            <w:shd w:val="clear" w:color="DCE6F1" w:fill="DCE6F1"/>
            <w:noWrap/>
            <w:hideMark/>
          </w:tcPr>
          <w:p w14:paraId="04F44406" w14:textId="3171EC6B" w:rsidR="00B918DD" w:rsidRPr="00A45DB0" w:rsidRDefault="00B918DD" w:rsidP="00B918DD">
            <w:pPr>
              <w:spacing w:after="0" w:line="240" w:lineRule="auto"/>
              <w:jc w:val="center"/>
              <w:rPr>
                <w:rFonts w:ascii="Tahoma" w:eastAsia="Times New Roman" w:hAnsi="Tahoma" w:cs="Tahoma"/>
                <w:color w:val="000000"/>
                <w:sz w:val="20"/>
                <w:szCs w:val="20"/>
                <w:lang w:eastAsia="pl-PL"/>
              </w:rPr>
            </w:pPr>
            <w:r w:rsidRPr="007C55BF">
              <w:t>500,5</w:t>
            </w:r>
          </w:p>
        </w:tc>
        <w:tc>
          <w:tcPr>
            <w:tcW w:w="3488" w:type="dxa"/>
            <w:tcBorders>
              <w:top w:val="single" w:sz="4" w:space="0" w:color="95B3D7"/>
              <w:left w:val="nil"/>
              <w:bottom w:val="single" w:sz="4" w:space="0" w:color="95B3D7"/>
              <w:right w:val="single" w:sz="4" w:space="0" w:color="95B3D7"/>
            </w:tcBorders>
            <w:shd w:val="clear" w:color="DCE6F1" w:fill="DCE6F1"/>
            <w:noWrap/>
            <w:hideMark/>
          </w:tcPr>
          <w:p w14:paraId="29E25081" w14:textId="3B5FD1A6" w:rsidR="00B918DD" w:rsidRPr="00A45DB0" w:rsidRDefault="00B918DD" w:rsidP="00B918DD">
            <w:pPr>
              <w:spacing w:after="0" w:line="240" w:lineRule="auto"/>
              <w:jc w:val="center"/>
              <w:rPr>
                <w:rFonts w:ascii="Tahoma" w:eastAsia="Times New Roman" w:hAnsi="Tahoma" w:cs="Tahoma"/>
                <w:color w:val="000000"/>
                <w:sz w:val="20"/>
                <w:szCs w:val="20"/>
                <w:lang w:eastAsia="pl-PL"/>
              </w:rPr>
            </w:pPr>
            <w:r w:rsidRPr="007C55BF">
              <w:t>3</w:t>
            </w:r>
          </w:p>
        </w:tc>
      </w:tr>
      <w:tr w:rsidR="00B918DD" w:rsidRPr="00A45DB0" w14:paraId="1F61A386" w14:textId="77777777" w:rsidTr="00FB439B">
        <w:trPr>
          <w:trHeight w:val="255"/>
        </w:trPr>
        <w:tc>
          <w:tcPr>
            <w:tcW w:w="2308" w:type="dxa"/>
            <w:tcBorders>
              <w:top w:val="single" w:sz="4" w:space="0" w:color="95B3D7"/>
              <w:left w:val="single" w:sz="4" w:space="0" w:color="95B3D7"/>
              <w:bottom w:val="single" w:sz="4" w:space="0" w:color="95B3D7"/>
              <w:right w:val="nil"/>
            </w:tcBorders>
            <w:noWrap/>
            <w:vAlign w:val="bottom"/>
            <w:hideMark/>
          </w:tcPr>
          <w:p w14:paraId="62A445A0" w14:textId="77777777" w:rsidR="00B918DD" w:rsidRPr="00A45DB0" w:rsidRDefault="00B918DD" w:rsidP="00B918DD">
            <w:pPr>
              <w:spacing w:after="0" w:line="240" w:lineRule="auto"/>
              <w:jc w:val="center"/>
              <w:rPr>
                <w:rFonts w:ascii="Tahoma" w:eastAsia="Times New Roman" w:hAnsi="Tahoma" w:cs="Tahoma"/>
                <w:color w:val="000000"/>
                <w:sz w:val="20"/>
                <w:szCs w:val="20"/>
                <w:lang w:eastAsia="pl-PL"/>
              </w:rPr>
            </w:pPr>
            <w:r w:rsidRPr="00A45DB0">
              <w:rPr>
                <w:rFonts w:ascii="Tahoma" w:eastAsia="Times New Roman" w:hAnsi="Tahoma" w:cs="Tahoma"/>
                <w:color w:val="000000"/>
                <w:sz w:val="20"/>
                <w:szCs w:val="20"/>
                <w:lang w:eastAsia="pl-PL"/>
              </w:rPr>
              <w:t>6</w:t>
            </w:r>
          </w:p>
        </w:tc>
        <w:tc>
          <w:tcPr>
            <w:tcW w:w="3636" w:type="dxa"/>
            <w:tcBorders>
              <w:top w:val="single" w:sz="4" w:space="0" w:color="95B3D7"/>
              <w:left w:val="nil"/>
              <w:bottom w:val="single" w:sz="4" w:space="0" w:color="95B3D7"/>
              <w:right w:val="nil"/>
            </w:tcBorders>
            <w:noWrap/>
            <w:hideMark/>
          </w:tcPr>
          <w:p w14:paraId="530FE796" w14:textId="5C4CC3B7" w:rsidR="00B918DD" w:rsidRPr="00A45DB0" w:rsidRDefault="00B918DD" w:rsidP="00B918DD">
            <w:pPr>
              <w:spacing w:after="0" w:line="240" w:lineRule="auto"/>
              <w:jc w:val="center"/>
              <w:rPr>
                <w:rFonts w:ascii="Tahoma" w:eastAsia="Times New Roman" w:hAnsi="Tahoma" w:cs="Tahoma"/>
                <w:color w:val="000000"/>
                <w:sz w:val="20"/>
                <w:szCs w:val="20"/>
                <w:lang w:eastAsia="pl-PL"/>
              </w:rPr>
            </w:pPr>
            <w:r w:rsidRPr="007C55BF">
              <w:t>337,8% — 371,0%</w:t>
            </w:r>
          </w:p>
        </w:tc>
        <w:tc>
          <w:tcPr>
            <w:tcW w:w="3036" w:type="dxa"/>
            <w:tcBorders>
              <w:top w:val="single" w:sz="4" w:space="0" w:color="95B3D7"/>
              <w:left w:val="nil"/>
              <w:bottom w:val="single" w:sz="4" w:space="0" w:color="95B3D7"/>
              <w:right w:val="nil"/>
            </w:tcBorders>
            <w:noWrap/>
            <w:hideMark/>
          </w:tcPr>
          <w:p w14:paraId="243444E1" w14:textId="16490E38" w:rsidR="00B918DD" w:rsidRPr="00A45DB0" w:rsidRDefault="00B918DD" w:rsidP="00B918DD">
            <w:pPr>
              <w:spacing w:after="0" w:line="240" w:lineRule="auto"/>
              <w:jc w:val="center"/>
              <w:rPr>
                <w:rFonts w:ascii="Tahoma" w:eastAsia="Times New Roman" w:hAnsi="Tahoma" w:cs="Tahoma"/>
                <w:color w:val="000000"/>
                <w:sz w:val="20"/>
                <w:szCs w:val="20"/>
                <w:lang w:eastAsia="pl-PL"/>
              </w:rPr>
            </w:pPr>
            <w:r w:rsidRPr="007C55BF">
              <w:t>625,375</w:t>
            </w:r>
          </w:p>
        </w:tc>
        <w:tc>
          <w:tcPr>
            <w:tcW w:w="3488" w:type="dxa"/>
            <w:tcBorders>
              <w:top w:val="single" w:sz="4" w:space="0" w:color="95B3D7"/>
              <w:left w:val="nil"/>
              <w:bottom w:val="single" w:sz="4" w:space="0" w:color="95B3D7"/>
              <w:right w:val="single" w:sz="4" w:space="0" w:color="95B3D7"/>
            </w:tcBorders>
            <w:noWrap/>
            <w:hideMark/>
          </w:tcPr>
          <w:p w14:paraId="044327FC" w14:textId="76E2C113" w:rsidR="00B918DD" w:rsidRPr="00A45DB0" w:rsidRDefault="00B918DD" w:rsidP="00B918DD">
            <w:pPr>
              <w:spacing w:after="0" w:line="240" w:lineRule="auto"/>
              <w:jc w:val="center"/>
              <w:rPr>
                <w:rFonts w:ascii="Tahoma" w:eastAsia="Times New Roman" w:hAnsi="Tahoma" w:cs="Tahoma"/>
                <w:color w:val="000000"/>
                <w:sz w:val="20"/>
                <w:szCs w:val="20"/>
                <w:lang w:eastAsia="pl-PL"/>
              </w:rPr>
            </w:pPr>
            <w:r w:rsidRPr="007C55BF">
              <w:t>3</w:t>
            </w:r>
          </w:p>
        </w:tc>
      </w:tr>
      <w:tr w:rsidR="00B918DD" w:rsidRPr="00A45DB0" w14:paraId="5A130094" w14:textId="77777777" w:rsidTr="00FB439B">
        <w:trPr>
          <w:trHeight w:val="255"/>
        </w:trPr>
        <w:tc>
          <w:tcPr>
            <w:tcW w:w="2308" w:type="dxa"/>
            <w:tcBorders>
              <w:top w:val="single" w:sz="4" w:space="0" w:color="95B3D7"/>
              <w:left w:val="single" w:sz="4" w:space="0" w:color="95B3D7"/>
              <w:bottom w:val="single" w:sz="4" w:space="0" w:color="95B3D7"/>
              <w:right w:val="nil"/>
            </w:tcBorders>
            <w:shd w:val="clear" w:color="DCE6F1" w:fill="DCE6F1"/>
            <w:noWrap/>
            <w:vAlign w:val="bottom"/>
            <w:hideMark/>
          </w:tcPr>
          <w:p w14:paraId="7FCB0F43" w14:textId="77777777" w:rsidR="00B918DD" w:rsidRPr="00A45DB0" w:rsidRDefault="00B918DD" w:rsidP="00B918DD">
            <w:pPr>
              <w:spacing w:after="0" w:line="240" w:lineRule="auto"/>
              <w:jc w:val="center"/>
              <w:rPr>
                <w:rFonts w:ascii="Tahoma" w:eastAsia="Times New Roman" w:hAnsi="Tahoma" w:cs="Tahoma"/>
                <w:color w:val="000000"/>
                <w:sz w:val="20"/>
                <w:szCs w:val="20"/>
                <w:lang w:eastAsia="pl-PL"/>
              </w:rPr>
            </w:pPr>
            <w:r w:rsidRPr="00A45DB0">
              <w:rPr>
                <w:rFonts w:ascii="Tahoma" w:eastAsia="Times New Roman" w:hAnsi="Tahoma" w:cs="Tahoma"/>
                <w:color w:val="000000"/>
                <w:sz w:val="20"/>
                <w:szCs w:val="20"/>
                <w:lang w:eastAsia="pl-PL"/>
              </w:rPr>
              <w:t>7</w:t>
            </w:r>
          </w:p>
        </w:tc>
        <w:tc>
          <w:tcPr>
            <w:tcW w:w="3636" w:type="dxa"/>
            <w:tcBorders>
              <w:top w:val="single" w:sz="4" w:space="0" w:color="95B3D7"/>
              <w:left w:val="nil"/>
              <w:bottom w:val="single" w:sz="4" w:space="0" w:color="95B3D7"/>
              <w:right w:val="nil"/>
            </w:tcBorders>
            <w:shd w:val="clear" w:color="DCE6F1" w:fill="DCE6F1"/>
            <w:noWrap/>
            <w:hideMark/>
          </w:tcPr>
          <w:p w14:paraId="2C157766" w14:textId="08A945E8" w:rsidR="00B918DD" w:rsidRPr="00A45DB0" w:rsidRDefault="00B918DD" w:rsidP="00B918DD">
            <w:pPr>
              <w:spacing w:after="0" w:line="240" w:lineRule="auto"/>
              <w:jc w:val="center"/>
              <w:rPr>
                <w:rFonts w:ascii="Tahoma" w:eastAsia="Times New Roman" w:hAnsi="Tahoma" w:cs="Tahoma"/>
                <w:color w:val="000000"/>
                <w:sz w:val="20"/>
                <w:szCs w:val="20"/>
                <w:lang w:eastAsia="pl-PL"/>
              </w:rPr>
            </w:pPr>
            <w:r w:rsidRPr="007C55BF">
              <w:t>371,0% — 583,9%</w:t>
            </w:r>
          </w:p>
        </w:tc>
        <w:tc>
          <w:tcPr>
            <w:tcW w:w="3036" w:type="dxa"/>
            <w:tcBorders>
              <w:top w:val="single" w:sz="4" w:space="0" w:color="95B3D7"/>
              <w:left w:val="nil"/>
              <w:bottom w:val="single" w:sz="4" w:space="0" w:color="95B3D7"/>
              <w:right w:val="nil"/>
            </w:tcBorders>
            <w:shd w:val="clear" w:color="DCE6F1" w:fill="DCE6F1"/>
            <w:noWrap/>
            <w:hideMark/>
          </w:tcPr>
          <w:p w14:paraId="4E9259D9" w14:textId="45915BAB" w:rsidR="00B918DD" w:rsidRPr="00A45DB0" w:rsidRDefault="00B918DD" w:rsidP="00B918DD">
            <w:pPr>
              <w:spacing w:after="0" w:line="240" w:lineRule="auto"/>
              <w:jc w:val="center"/>
              <w:rPr>
                <w:rFonts w:ascii="Tahoma" w:eastAsia="Times New Roman" w:hAnsi="Tahoma" w:cs="Tahoma"/>
                <w:color w:val="000000"/>
                <w:sz w:val="20"/>
                <w:szCs w:val="20"/>
                <w:lang w:eastAsia="pl-PL"/>
              </w:rPr>
            </w:pPr>
            <w:r w:rsidRPr="007C55BF">
              <w:t>750,25</w:t>
            </w:r>
          </w:p>
        </w:tc>
        <w:tc>
          <w:tcPr>
            <w:tcW w:w="3488" w:type="dxa"/>
            <w:tcBorders>
              <w:top w:val="single" w:sz="4" w:space="0" w:color="95B3D7"/>
              <w:left w:val="nil"/>
              <w:bottom w:val="single" w:sz="4" w:space="0" w:color="95B3D7"/>
              <w:right w:val="single" w:sz="4" w:space="0" w:color="95B3D7"/>
            </w:tcBorders>
            <w:shd w:val="clear" w:color="DCE6F1" w:fill="DCE6F1"/>
            <w:noWrap/>
            <w:hideMark/>
          </w:tcPr>
          <w:p w14:paraId="5F8DB2D8" w14:textId="01BEDF10" w:rsidR="00B918DD" w:rsidRPr="00A45DB0" w:rsidRDefault="00B918DD" w:rsidP="00B918DD">
            <w:pPr>
              <w:spacing w:after="0" w:line="240" w:lineRule="auto"/>
              <w:jc w:val="center"/>
              <w:rPr>
                <w:rFonts w:ascii="Tahoma" w:eastAsia="Times New Roman" w:hAnsi="Tahoma" w:cs="Tahoma"/>
                <w:color w:val="000000"/>
                <w:sz w:val="20"/>
                <w:szCs w:val="20"/>
                <w:lang w:eastAsia="pl-PL"/>
              </w:rPr>
            </w:pPr>
            <w:r w:rsidRPr="007C55BF">
              <w:t>3</w:t>
            </w:r>
          </w:p>
        </w:tc>
      </w:tr>
      <w:tr w:rsidR="00B918DD" w:rsidRPr="00A45DB0" w14:paraId="411D1258" w14:textId="77777777" w:rsidTr="00FB439B">
        <w:trPr>
          <w:trHeight w:val="255"/>
        </w:trPr>
        <w:tc>
          <w:tcPr>
            <w:tcW w:w="2308" w:type="dxa"/>
            <w:tcBorders>
              <w:top w:val="single" w:sz="4" w:space="0" w:color="95B3D7"/>
              <w:left w:val="single" w:sz="4" w:space="0" w:color="95B3D7"/>
              <w:bottom w:val="single" w:sz="4" w:space="0" w:color="95B3D7"/>
              <w:right w:val="nil"/>
            </w:tcBorders>
            <w:noWrap/>
            <w:vAlign w:val="bottom"/>
            <w:hideMark/>
          </w:tcPr>
          <w:p w14:paraId="260A0E20" w14:textId="77777777" w:rsidR="00B918DD" w:rsidRPr="00A45DB0" w:rsidRDefault="00B918DD" w:rsidP="00B918DD">
            <w:pPr>
              <w:spacing w:after="0" w:line="240" w:lineRule="auto"/>
              <w:jc w:val="center"/>
              <w:rPr>
                <w:rFonts w:ascii="Tahoma" w:eastAsia="Times New Roman" w:hAnsi="Tahoma" w:cs="Tahoma"/>
                <w:color w:val="000000"/>
                <w:sz w:val="20"/>
                <w:szCs w:val="20"/>
                <w:lang w:eastAsia="pl-PL"/>
              </w:rPr>
            </w:pPr>
            <w:r w:rsidRPr="00A45DB0">
              <w:rPr>
                <w:rFonts w:ascii="Tahoma" w:eastAsia="Times New Roman" w:hAnsi="Tahoma" w:cs="Tahoma"/>
                <w:color w:val="000000"/>
                <w:sz w:val="20"/>
                <w:szCs w:val="20"/>
                <w:lang w:eastAsia="pl-PL"/>
              </w:rPr>
              <w:t>8</w:t>
            </w:r>
          </w:p>
        </w:tc>
        <w:tc>
          <w:tcPr>
            <w:tcW w:w="3636" w:type="dxa"/>
            <w:tcBorders>
              <w:top w:val="single" w:sz="4" w:space="0" w:color="95B3D7"/>
              <w:left w:val="nil"/>
              <w:bottom w:val="single" w:sz="4" w:space="0" w:color="95B3D7"/>
              <w:right w:val="nil"/>
            </w:tcBorders>
            <w:noWrap/>
            <w:hideMark/>
          </w:tcPr>
          <w:p w14:paraId="6ACCABBA" w14:textId="55C4ABD6" w:rsidR="00B918DD" w:rsidRPr="00A45DB0" w:rsidRDefault="00B918DD" w:rsidP="00B918DD">
            <w:pPr>
              <w:spacing w:after="0" w:line="240" w:lineRule="auto"/>
              <w:jc w:val="center"/>
              <w:rPr>
                <w:rFonts w:ascii="Tahoma" w:eastAsia="Times New Roman" w:hAnsi="Tahoma" w:cs="Tahoma"/>
                <w:color w:val="000000"/>
                <w:sz w:val="20"/>
                <w:szCs w:val="20"/>
                <w:lang w:eastAsia="pl-PL"/>
              </w:rPr>
            </w:pPr>
            <w:r w:rsidRPr="007C55BF">
              <w:t>583,9% — 9 198,7%</w:t>
            </w:r>
          </w:p>
        </w:tc>
        <w:tc>
          <w:tcPr>
            <w:tcW w:w="3036" w:type="dxa"/>
            <w:tcBorders>
              <w:top w:val="single" w:sz="4" w:space="0" w:color="95B3D7"/>
              <w:left w:val="nil"/>
              <w:bottom w:val="single" w:sz="4" w:space="0" w:color="95B3D7"/>
              <w:right w:val="nil"/>
            </w:tcBorders>
            <w:noWrap/>
            <w:hideMark/>
          </w:tcPr>
          <w:p w14:paraId="48E4F10F" w14:textId="438FACD8" w:rsidR="00B918DD" w:rsidRPr="00A45DB0" w:rsidRDefault="00B918DD" w:rsidP="00B918DD">
            <w:pPr>
              <w:spacing w:after="0" w:line="240" w:lineRule="auto"/>
              <w:jc w:val="center"/>
              <w:rPr>
                <w:rFonts w:ascii="Tahoma" w:eastAsia="Times New Roman" w:hAnsi="Tahoma" w:cs="Tahoma"/>
                <w:color w:val="000000"/>
                <w:sz w:val="20"/>
                <w:szCs w:val="20"/>
                <w:lang w:eastAsia="pl-PL"/>
              </w:rPr>
            </w:pPr>
            <w:r w:rsidRPr="007C55BF">
              <w:t>875,125</w:t>
            </w:r>
          </w:p>
        </w:tc>
        <w:tc>
          <w:tcPr>
            <w:tcW w:w="3488" w:type="dxa"/>
            <w:tcBorders>
              <w:top w:val="single" w:sz="4" w:space="0" w:color="95B3D7"/>
              <w:left w:val="nil"/>
              <w:bottom w:val="single" w:sz="4" w:space="0" w:color="95B3D7"/>
              <w:right w:val="single" w:sz="4" w:space="0" w:color="95B3D7"/>
            </w:tcBorders>
            <w:noWrap/>
            <w:hideMark/>
          </w:tcPr>
          <w:p w14:paraId="1200BB45" w14:textId="23A8807A" w:rsidR="00B918DD" w:rsidRPr="00A45DB0" w:rsidRDefault="00B918DD" w:rsidP="00B918DD">
            <w:pPr>
              <w:spacing w:after="0" w:line="240" w:lineRule="auto"/>
              <w:jc w:val="center"/>
              <w:rPr>
                <w:rFonts w:ascii="Tahoma" w:eastAsia="Times New Roman" w:hAnsi="Tahoma" w:cs="Tahoma"/>
                <w:color w:val="000000"/>
                <w:sz w:val="20"/>
                <w:szCs w:val="20"/>
                <w:lang w:eastAsia="pl-PL"/>
              </w:rPr>
            </w:pPr>
            <w:r w:rsidRPr="007C55BF">
              <w:t>2</w:t>
            </w:r>
          </w:p>
        </w:tc>
      </w:tr>
      <w:tr w:rsidR="00B918DD" w:rsidRPr="00A45DB0" w14:paraId="702390B8" w14:textId="77777777" w:rsidTr="00FB439B">
        <w:trPr>
          <w:trHeight w:val="255"/>
        </w:trPr>
        <w:tc>
          <w:tcPr>
            <w:tcW w:w="2308" w:type="dxa"/>
            <w:tcBorders>
              <w:top w:val="single" w:sz="4" w:space="0" w:color="95B3D7"/>
              <w:left w:val="single" w:sz="4" w:space="0" w:color="95B3D7"/>
              <w:bottom w:val="single" w:sz="4" w:space="0" w:color="95B3D7"/>
              <w:right w:val="nil"/>
            </w:tcBorders>
            <w:shd w:val="clear" w:color="DCE6F1" w:fill="DCE6F1"/>
            <w:noWrap/>
            <w:vAlign w:val="bottom"/>
            <w:hideMark/>
          </w:tcPr>
          <w:p w14:paraId="1355905D" w14:textId="77777777" w:rsidR="00B918DD" w:rsidRPr="00A45DB0" w:rsidRDefault="00B918DD" w:rsidP="00B918DD">
            <w:pPr>
              <w:spacing w:after="0" w:line="240" w:lineRule="auto"/>
              <w:jc w:val="center"/>
              <w:rPr>
                <w:rFonts w:ascii="Tahoma" w:eastAsia="Times New Roman" w:hAnsi="Tahoma" w:cs="Tahoma"/>
                <w:color w:val="000000"/>
                <w:sz w:val="20"/>
                <w:szCs w:val="20"/>
                <w:lang w:eastAsia="pl-PL"/>
              </w:rPr>
            </w:pPr>
            <w:r w:rsidRPr="00A45DB0">
              <w:rPr>
                <w:rFonts w:ascii="Tahoma" w:eastAsia="Times New Roman" w:hAnsi="Tahoma" w:cs="Tahoma"/>
                <w:color w:val="000000"/>
                <w:sz w:val="20"/>
                <w:szCs w:val="20"/>
                <w:lang w:eastAsia="pl-PL"/>
              </w:rPr>
              <w:t>9</w:t>
            </w:r>
          </w:p>
        </w:tc>
        <w:tc>
          <w:tcPr>
            <w:tcW w:w="3636" w:type="dxa"/>
            <w:tcBorders>
              <w:top w:val="single" w:sz="4" w:space="0" w:color="95B3D7"/>
              <w:left w:val="nil"/>
              <w:bottom w:val="single" w:sz="4" w:space="0" w:color="95B3D7"/>
              <w:right w:val="nil"/>
            </w:tcBorders>
            <w:shd w:val="clear" w:color="DCE6F1" w:fill="DCE6F1"/>
            <w:noWrap/>
            <w:hideMark/>
          </w:tcPr>
          <w:p w14:paraId="549003D2" w14:textId="751C0B89" w:rsidR="00B918DD" w:rsidRPr="00A45DB0" w:rsidRDefault="00B918DD" w:rsidP="00B918DD">
            <w:pPr>
              <w:spacing w:after="0" w:line="240" w:lineRule="auto"/>
              <w:jc w:val="center"/>
              <w:rPr>
                <w:rFonts w:ascii="Tahoma" w:eastAsia="Times New Roman" w:hAnsi="Tahoma" w:cs="Tahoma"/>
                <w:color w:val="000000"/>
                <w:sz w:val="20"/>
                <w:szCs w:val="20"/>
                <w:lang w:eastAsia="pl-PL"/>
              </w:rPr>
            </w:pPr>
            <w:r w:rsidRPr="007C55BF">
              <w:t xml:space="preserve">9 198,7% — </w:t>
            </w:r>
          </w:p>
        </w:tc>
        <w:tc>
          <w:tcPr>
            <w:tcW w:w="3036" w:type="dxa"/>
            <w:tcBorders>
              <w:top w:val="single" w:sz="4" w:space="0" w:color="95B3D7"/>
              <w:left w:val="nil"/>
              <w:bottom w:val="single" w:sz="4" w:space="0" w:color="95B3D7"/>
              <w:right w:val="nil"/>
            </w:tcBorders>
            <w:shd w:val="clear" w:color="DCE6F1" w:fill="DCE6F1"/>
            <w:noWrap/>
            <w:hideMark/>
          </w:tcPr>
          <w:p w14:paraId="33EF666F" w14:textId="4C659204" w:rsidR="00B918DD" w:rsidRPr="00A45DB0" w:rsidRDefault="00B918DD" w:rsidP="00B918DD">
            <w:pPr>
              <w:spacing w:after="0" w:line="240" w:lineRule="auto"/>
              <w:jc w:val="center"/>
              <w:rPr>
                <w:rFonts w:ascii="Tahoma" w:eastAsia="Times New Roman" w:hAnsi="Tahoma" w:cs="Tahoma"/>
                <w:color w:val="000000"/>
                <w:sz w:val="20"/>
                <w:szCs w:val="20"/>
                <w:lang w:eastAsia="pl-PL"/>
              </w:rPr>
            </w:pPr>
            <w:r w:rsidRPr="007C55BF">
              <w:t>1000</w:t>
            </w:r>
          </w:p>
        </w:tc>
        <w:tc>
          <w:tcPr>
            <w:tcW w:w="3488" w:type="dxa"/>
            <w:tcBorders>
              <w:top w:val="single" w:sz="4" w:space="0" w:color="95B3D7"/>
              <w:left w:val="nil"/>
              <w:bottom w:val="single" w:sz="4" w:space="0" w:color="95B3D7"/>
              <w:right w:val="single" w:sz="4" w:space="0" w:color="95B3D7"/>
            </w:tcBorders>
            <w:shd w:val="clear" w:color="DCE6F1" w:fill="DCE6F1"/>
            <w:noWrap/>
            <w:hideMark/>
          </w:tcPr>
          <w:p w14:paraId="02396D52" w14:textId="52B66D84" w:rsidR="00B918DD" w:rsidRPr="00A45DB0" w:rsidRDefault="00B918DD" w:rsidP="00B918DD">
            <w:pPr>
              <w:spacing w:after="0" w:line="240" w:lineRule="auto"/>
              <w:jc w:val="center"/>
              <w:rPr>
                <w:rFonts w:ascii="Tahoma" w:eastAsia="Times New Roman" w:hAnsi="Tahoma" w:cs="Tahoma"/>
                <w:color w:val="000000"/>
                <w:sz w:val="20"/>
                <w:szCs w:val="20"/>
                <w:lang w:eastAsia="pl-PL"/>
              </w:rPr>
            </w:pPr>
            <w:r w:rsidRPr="007C55BF">
              <w:t>2</w:t>
            </w:r>
          </w:p>
        </w:tc>
      </w:tr>
    </w:tbl>
    <w:p w14:paraId="26AB80CB" w14:textId="77777777" w:rsidR="00A45DB0" w:rsidRPr="00E25134" w:rsidRDefault="00A45DB0">
      <w:pPr>
        <w:rPr>
          <w:rFonts w:cstheme="minorHAnsi"/>
          <w:highlight w:val="yellow"/>
        </w:rPr>
      </w:pPr>
    </w:p>
    <w:p w14:paraId="49B2FA61" w14:textId="77777777" w:rsidR="00F70792" w:rsidRPr="00C75DD7" w:rsidRDefault="0037742B" w:rsidP="00EB219B">
      <w:pPr>
        <w:keepNext/>
        <w:shd w:val="clear" w:color="auto" w:fill="FFFFFF"/>
        <w:spacing w:before="312" w:after="120" w:line="240" w:lineRule="auto"/>
        <w:rPr>
          <w:rFonts w:eastAsia="Times New Roman" w:cstheme="minorHAnsi"/>
          <w:b/>
          <w:iCs/>
          <w:color w:val="000000"/>
          <w:szCs w:val="20"/>
          <w:lang w:eastAsia="pl-PL"/>
        </w:rPr>
      </w:pPr>
      <w:r w:rsidRPr="00C75DD7">
        <w:rPr>
          <w:rFonts w:eastAsia="Times New Roman" w:cstheme="minorHAnsi"/>
          <w:b/>
          <w:iCs/>
          <w:color w:val="000000"/>
          <w:szCs w:val="20"/>
          <w:lang w:eastAsia="pl-PL"/>
        </w:rPr>
        <w:lastRenderedPageBreak/>
        <w:t xml:space="preserve">Wskaźnik stabilnego finansowania netto </w:t>
      </w:r>
      <w:r w:rsidR="00F70792" w:rsidRPr="00C75DD7">
        <w:rPr>
          <w:rFonts w:eastAsia="Times New Roman" w:cstheme="minorHAnsi"/>
          <w:b/>
          <w:iCs/>
          <w:color w:val="000000"/>
          <w:szCs w:val="20"/>
          <w:lang w:eastAsia="pl-PL"/>
        </w:rPr>
        <w:t xml:space="preserve">(NSFR) </w:t>
      </w:r>
    </w:p>
    <w:p w14:paraId="5E14E1B9" w14:textId="77777777" w:rsidR="00C83ACC" w:rsidRDefault="00C83ACC" w:rsidP="00EB219B">
      <w:pPr>
        <w:keepNext/>
        <w:rPr>
          <w:rFonts w:cstheme="minorHAnsi"/>
          <w:iCs/>
          <w:highlight w:val="yellow"/>
        </w:rPr>
      </w:pPr>
    </w:p>
    <w:tbl>
      <w:tblPr>
        <w:tblW w:w="12468" w:type="dxa"/>
        <w:tblCellMar>
          <w:left w:w="70" w:type="dxa"/>
          <w:right w:w="70" w:type="dxa"/>
        </w:tblCellMar>
        <w:tblLook w:val="04A0" w:firstRow="1" w:lastRow="0" w:firstColumn="1" w:lastColumn="0" w:noHBand="0" w:noVBand="1"/>
      </w:tblPr>
      <w:tblGrid>
        <w:gridCol w:w="2308"/>
        <w:gridCol w:w="3636"/>
        <w:gridCol w:w="3036"/>
        <w:gridCol w:w="3488"/>
      </w:tblGrid>
      <w:tr w:rsidR="00A45DB0" w:rsidRPr="00A45DB0" w14:paraId="42683D48" w14:textId="77777777" w:rsidTr="00A45DB0">
        <w:trPr>
          <w:trHeight w:val="255"/>
        </w:trPr>
        <w:tc>
          <w:tcPr>
            <w:tcW w:w="2308" w:type="dxa"/>
            <w:tcBorders>
              <w:top w:val="single" w:sz="4" w:space="0" w:color="95B3D7"/>
              <w:left w:val="single" w:sz="4" w:space="0" w:color="95B3D7"/>
              <w:bottom w:val="single" w:sz="4" w:space="0" w:color="95B3D7"/>
              <w:right w:val="nil"/>
            </w:tcBorders>
            <w:shd w:val="clear" w:color="4F81BD" w:fill="4F81BD"/>
            <w:noWrap/>
            <w:vAlign w:val="bottom"/>
            <w:hideMark/>
          </w:tcPr>
          <w:p w14:paraId="417A35C6" w14:textId="77777777" w:rsidR="00A45DB0" w:rsidRPr="00A45DB0" w:rsidRDefault="00A45DB0" w:rsidP="00EB219B">
            <w:pPr>
              <w:keepNext/>
              <w:spacing w:after="0" w:line="240" w:lineRule="auto"/>
              <w:jc w:val="center"/>
              <w:rPr>
                <w:rFonts w:ascii="Tahoma" w:eastAsia="Times New Roman" w:hAnsi="Tahoma" w:cs="Tahoma"/>
                <w:b/>
                <w:bCs/>
                <w:color w:val="FFFFFF"/>
                <w:sz w:val="20"/>
                <w:szCs w:val="20"/>
                <w:lang w:eastAsia="pl-PL"/>
              </w:rPr>
            </w:pPr>
            <w:r w:rsidRPr="00A45DB0">
              <w:rPr>
                <w:rFonts w:ascii="Tahoma" w:eastAsia="Times New Roman" w:hAnsi="Tahoma" w:cs="Tahoma"/>
                <w:b/>
                <w:bCs/>
                <w:color w:val="FFFFFF"/>
                <w:sz w:val="20"/>
                <w:szCs w:val="20"/>
                <w:lang w:eastAsia="pl-PL"/>
              </w:rPr>
              <w:t>Numer przedziału</w:t>
            </w:r>
          </w:p>
        </w:tc>
        <w:tc>
          <w:tcPr>
            <w:tcW w:w="3636" w:type="dxa"/>
            <w:tcBorders>
              <w:top w:val="single" w:sz="4" w:space="0" w:color="95B3D7"/>
              <w:left w:val="nil"/>
              <w:bottom w:val="single" w:sz="4" w:space="0" w:color="95B3D7"/>
              <w:right w:val="nil"/>
            </w:tcBorders>
            <w:shd w:val="clear" w:color="4F81BD" w:fill="4F81BD"/>
            <w:noWrap/>
            <w:vAlign w:val="bottom"/>
            <w:hideMark/>
          </w:tcPr>
          <w:p w14:paraId="086DB204" w14:textId="77777777" w:rsidR="00A45DB0" w:rsidRPr="00A45DB0" w:rsidRDefault="00A45DB0" w:rsidP="00EB219B">
            <w:pPr>
              <w:keepNext/>
              <w:spacing w:after="0" w:line="240" w:lineRule="auto"/>
              <w:jc w:val="center"/>
              <w:rPr>
                <w:rFonts w:ascii="Tahoma" w:eastAsia="Times New Roman" w:hAnsi="Tahoma" w:cs="Tahoma"/>
                <w:b/>
                <w:bCs/>
                <w:color w:val="FFFFFF"/>
                <w:sz w:val="20"/>
                <w:szCs w:val="20"/>
                <w:lang w:eastAsia="pl-PL"/>
              </w:rPr>
            </w:pPr>
            <w:r w:rsidRPr="00A45DB0">
              <w:rPr>
                <w:rFonts w:ascii="Tahoma" w:eastAsia="Times New Roman" w:hAnsi="Tahoma" w:cs="Tahoma"/>
                <w:b/>
                <w:bCs/>
                <w:color w:val="FFFFFF"/>
                <w:sz w:val="20"/>
                <w:szCs w:val="20"/>
                <w:lang w:eastAsia="pl-PL"/>
              </w:rPr>
              <w:t>Przedziały wartości wskaźnika</w:t>
            </w:r>
          </w:p>
        </w:tc>
        <w:tc>
          <w:tcPr>
            <w:tcW w:w="3036" w:type="dxa"/>
            <w:tcBorders>
              <w:top w:val="single" w:sz="4" w:space="0" w:color="95B3D7"/>
              <w:left w:val="nil"/>
              <w:bottom w:val="single" w:sz="4" w:space="0" w:color="95B3D7"/>
              <w:right w:val="nil"/>
            </w:tcBorders>
            <w:shd w:val="clear" w:color="4F81BD" w:fill="4F81BD"/>
            <w:noWrap/>
            <w:vAlign w:val="bottom"/>
            <w:hideMark/>
          </w:tcPr>
          <w:p w14:paraId="7353090F" w14:textId="77777777" w:rsidR="00A45DB0" w:rsidRPr="00A45DB0" w:rsidRDefault="00A45DB0" w:rsidP="00EB219B">
            <w:pPr>
              <w:keepNext/>
              <w:spacing w:after="0" w:line="240" w:lineRule="auto"/>
              <w:jc w:val="center"/>
              <w:rPr>
                <w:rFonts w:ascii="Tahoma" w:eastAsia="Times New Roman" w:hAnsi="Tahoma" w:cs="Tahoma"/>
                <w:b/>
                <w:bCs/>
                <w:color w:val="FFFFFF"/>
                <w:sz w:val="20"/>
                <w:szCs w:val="20"/>
                <w:lang w:eastAsia="pl-PL"/>
              </w:rPr>
            </w:pPr>
            <w:r w:rsidRPr="00A45DB0">
              <w:rPr>
                <w:rFonts w:ascii="Tahoma" w:eastAsia="Times New Roman" w:hAnsi="Tahoma" w:cs="Tahoma"/>
                <w:b/>
                <w:bCs/>
                <w:color w:val="FFFFFF"/>
                <w:sz w:val="20"/>
                <w:szCs w:val="20"/>
                <w:lang w:eastAsia="pl-PL"/>
              </w:rPr>
              <w:t>Ocena ryzyka przedziału</w:t>
            </w:r>
          </w:p>
        </w:tc>
        <w:tc>
          <w:tcPr>
            <w:tcW w:w="3488" w:type="dxa"/>
            <w:tcBorders>
              <w:top w:val="single" w:sz="4" w:space="0" w:color="95B3D7"/>
              <w:left w:val="nil"/>
              <w:bottom w:val="single" w:sz="4" w:space="0" w:color="95B3D7"/>
              <w:right w:val="single" w:sz="4" w:space="0" w:color="95B3D7"/>
            </w:tcBorders>
            <w:shd w:val="clear" w:color="4F81BD" w:fill="4F81BD"/>
            <w:noWrap/>
            <w:vAlign w:val="bottom"/>
            <w:hideMark/>
          </w:tcPr>
          <w:p w14:paraId="538F7AD6" w14:textId="77777777" w:rsidR="00A45DB0" w:rsidRPr="00A45DB0" w:rsidRDefault="00A45DB0" w:rsidP="00EB219B">
            <w:pPr>
              <w:keepNext/>
              <w:spacing w:after="0" w:line="240" w:lineRule="auto"/>
              <w:jc w:val="center"/>
              <w:rPr>
                <w:rFonts w:ascii="Tahoma" w:eastAsia="Times New Roman" w:hAnsi="Tahoma" w:cs="Tahoma"/>
                <w:b/>
                <w:bCs/>
                <w:color w:val="FFFFFF"/>
                <w:sz w:val="20"/>
                <w:szCs w:val="20"/>
                <w:lang w:eastAsia="pl-PL"/>
              </w:rPr>
            </w:pPr>
            <w:r w:rsidRPr="00A45DB0">
              <w:rPr>
                <w:rFonts w:ascii="Tahoma" w:eastAsia="Times New Roman" w:hAnsi="Tahoma" w:cs="Tahoma"/>
                <w:b/>
                <w:bCs/>
                <w:color w:val="FFFFFF"/>
                <w:sz w:val="20"/>
                <w:szCs w:val="20"/>
                <w:lang w:eastAsia="pl-PL"/>
              </w:rPr>
              <w:t>Liczba instytucji w przedziale</w:t>
            </w:r>
          </w:p>
        </w:tc>
      </w:tr>
      <w:tr w:rsidR="00B918DD" w:rsidRPr="00A45DB0" w14:paraId="73C35851" w14:textId="77777777" w:rsidTr="00972F7A">
        <w:trPr>
          <w:trHeight w:val="255"/>
        </w:trPr>
        <w:tc>
          <w:tcPr>
            <w:tcW w:w="2308" w:type="dxa"/>
            <w:tcBorders>
              <w:top w:val="single" w:sz="4" w:space="0" w:color="95B3D7"/>
              <w:left w:val="single" w:sz="4" w:space="0" w:color="95B3D7"/>
              <w:bottom w:val="single" w:sz="4" w:space="0" w:color="95B3D7"/>
              <w:right w:val="nil"/>
            </w:tcBorders>
            <w:shd w:val="clear" w:color="DCE6F1" w:fill="DCE6F1"/>
            <w:noWrap/>
            <w:vAlign w:val="bottom"/>
            <w:hideMark/>
          </w:tcPr>
          <w:p w14:paraId="3403CF52" w14:textId="77777777" w:rsidR="00B918DD" w:rsidRPr="00A45DB0" w:rsidRDefault="00B918DD" w:rsidP="00B918DD">
            <w:pPr>
              <w:keepNext/>
              <w:spacing w:after="0" w:line="240" w:lineRule="auto"/>
              <w:jc w:val="center"/>
              <w:rPr>
                <w:rFonts w:ascii="Tahoma" w:eastAsia="Times New Roman" w:hAnsi="Tahoma" w:cs="Tahoma"/>
                <w:color w:val="000000"/>
                <w:sz w:val="20"/>
                <w:szCs w:val="20"/>
                <w:lang w:eastAsia="pl-PL"/>
              </w:rPr>
            </w:pPr>
            <w:r w:rsidRPr="00A45DB0">
              <w:rPr>
                <w:rFonts w:ascii="Tahoma" w:eastAsia="Times New Roman" w:hAnsi="Tahoma" w:cs="Tahoma"/>
                <w:color w:val="000000"/>
                <w:sz w:val="20"/>
                <w:szCs w:val="20"/>
                <w:lang w:eastAsia="pl-PL"/>
              </w:rPr>
              <w:t>1</w:t>
            </w:r>
          </w:p>
        </w:tc>
        <w:tc>
          <w:tcPr>
            <w:tcW w:w="3636" w:type="dxa"/>
            <w:tcBorders>
              <w:top w:val="single" w:sz="4" w:space="0" w:color="95B3D7"/>
              <w:left w:val="nil"/>
              <w:bottom w:val="single" w:sz="4" w:space="0" w:color="95B3D7"/>
              <w:right w:val="nil"/>
            </w:tcBorders>
            <w:shd w:val="clear" w:color="DCE6F1" w:fill="DCE6F1"/>
            <w:noWrap/>
            <w:hideMark/>
          </w:tcPr>
          <w:p w14:paraId="1135404D" w14:textId="353972C7" w:rsidR="00B918DD" w:rsidRPr="00A45DB0" w:rsidRDefault="00B918DD" w:rsidP="00B918DD">
            <w:pPr>
              <w:keepNext/>
              <w:spacing w:after="0" w:line="240" w:lineRule="auto"/>
              <w:jc w:val="center"/>
              <w:rPr>
                <w:rFonts w:ascii="Tahoma" w:eastAsia="Times New Roman" w:hAnsi="Tahoma" w:cs="Tahoma"/>
                <w:color w:val="000000"/>
                <w:sz w:val="20"/>
                <w:szCs w:val="20"/>
                <w:lang w:eastAsia="pl-PL"/>
              </w:rPr>
            </w:pPr>
            <w:r w:rsidRPr="00D43902">
              <w:t xml:space="preserve"> — 156,49%</w:t>
            </w:r>
          </w:p>
        </w:tc>
        <w:tc>
          <w:tcPr>
            <w:tcW w:w="3036" w:type="dxa"/>
            <w:tcBorders>
              <w:top w:val="single" w:sz="4" w:space="0" w:color="95B3D7"/>
              <w:left w:val="nil"/>
              <w:bottom w:val="single" w:sz="4" w:space="0" w:color="95B3D7"/>
              <w:right w:val="nil"/>
            </w:tcBorders>
            <w:shd w:val="clear" w:color="DCE6F1" w:fill="DCE6F1"/>
            <w:noWrap/>
            <w:hideMark/>
          </w:tcPr>
          <w:p w14:paraId="42F096B3" w14:textId="0E3CC099" w:rsidR="00B918DD" w:rsidRPr="00A45DB0" w:rsidRDefault="00B918DD" w:rsidP="00B918DD">
            <w:pPr>
              <w:keepNext/>
              <w:spacing w:after="0" w:line="240" w:lineRule="auto"/>
              <w:jc w:val="center"/>
              <w:rPr>
                <w:rFonts w:ascii="Tahoma" w:eastAsia="Times New Roman" w:hAnsi="Tahoma" w:cs="Tahoma"/>
                <w:color w:val="000000"/>
                <w:sz w:val="20"/>
                <w:szCs w:val="20"/>
                <w:lang w:eastAsia="pl-PL"/>
              </w:rPr>
            </w:pPr>
            <w:r w:rsidRPr="00D43902">
              <w:t>1</w:t>
            </w:r>
          </w:p>
        </w:tc>
        <w:tc>
          <w:tcPr>
            <w:tcW w:w="3488" w:type="dxa"/>
            <w:tcBorders>
              <w:top w:val="single" w:sz="4" w:space="0" w:color="95B3D7"/>
              <w:left w:val="nil"/>
              <w:bottom w:val="single" w:sz="4" w:space="0" w:color="95B3D7"/>
              <w:right w:val="single" w:sz="4" w:space="0" w:color="95B3D7"/>
            </w:tcBorders>
            <w:shd w:val="clear" w:color="DCE6F1" w:fill="DCE6F1"/>
            <w:noWrap/>
            <w:hideMark/>
          </w:tcPr>
          <w:p w14:paraId="22D22ADE" w14:textId="0AA3B3BE" w:rsidR="00B918DD" w:rsidRPr="00A45DB0" w:rsidRDefault="00B918DD" w:rsidP="00B918DD">
            <w:pPr>
              <w:keepNext/>
              <w:spacing w:after="0" w:line="240" w:lineRule="auto"/>
              <w:jc w:val="center"/>
              <w:rPr>
                <w:rFonts w:ascii="Tahoma" w:eastAsia="Times New Roman" w:hAnsi="Tahoma" w:cs="Tahoma"/>
                <w:color w:val="000000"/>
                <w:sz w:val="20"/>
                <w:szCs w:val="20"/>
                <w:lang w:eastAsia="pl-PL"/>
              </w:rPr>
            </w:pPr>
            <w:r w:rsidRPr="00D43902">
              <w:t>4</w:t>
            </w:r>
          </w:p>
        </w:tc>
      </w:tr>
      <w:tr w:rsidR="00B918DD" w:rsidRPr="00A45DB0" w14:paraId="05CFE822" w14:textId="77777777" w:rsidTr="00972F7A">
        <w:trPr>
          <w:trHeight w:val="255"/>
        </w:trPr>
        <w:tc>
          <w:tcPr>
            <w:tcW w:w="2308" w:type="dxa"/>
            <w:tcBorders>
              <w:top w:val="single" w:sz="4" w:space="0" w:color="95B3D7"/>
              <w:left w:val="single" w:sz="4" w:space="0" w:color="95B3D7"/>
              <w:bottom w:val="single" w:sz="4" w:space="0" w:color="95B3D7"/>
              <w:right w:val="nil"/>
            </w:tcBorders>
            <w:noWrap/>
            <w:vAlign w:val="bottom"/>
            <w:hideMark/>
          </w:tcPr>
          <w:p w14:paraId="28201B2E" w14:textId="77777777" w:rsidR="00B918DD" w:rsidRPr="00A45DB0" w:rsidRDefault="00B918DD" w:rsidP="00B918DD">
            <w:pPr>
              <w:keepNext/>
              <w:spacing w:after="0" w:line="240" w:lineRule="auto"/>
              <w:jc w:val="center"/>
              <w:rPr>
                <w:rFonts w:ascii="Tahoma" w:eastAsia="Times New Roman" w:hAnsi="Tahoma" w:cs="Tahoma"/>
                <w:color w:val="000000"/>
                <w:sz w:val="20"/>
                <w:szCs w:val="20"/>
                <w:lang w:eastAsia="pl-PL"/>
              </w:rPr>
            </w:pPr>
            <w:r w:rsidRPr="00A45DB0">
              <w:rPr>
                <w:rFonts w:ascii="Tahoma" w:eastAsia="Times New Roman" w:hAnsi="Tahoma" w:cs="Tahoma"/>
                <w:color w:val="000000"/>
                <w:sz w:val="20"/>
                <w:szCs w:val="20"/>
                <w:lang w:eastAsia="pl-PL"/>
              </w:rPr>
              <w:t>2</w:t>
            </w:r>
          </w:p>
        </w:tc>
        <w:tc>
          <w:tcPr>
            <w:tcW w:w="3636" w:type="dxa"/>
            <w:tcBorders>
              <w:top w:val="single" w:sz="4" w:space="0" w:color="95B3D7"/>
              <w:left w:val="nil"/>
              <w:bottom w:val="single" w:sz="4" w:space="0" w:color="95B3D7"/>
              <w:right w:val="nil"/>
            </w:tcBorders>
            <w:noWrap/>
            <w:hideMark/>
          </w:tcPr>
          <w:p w14:paraId="72BF8202" w14:textId="58B8C242" w:rsidR="00B918DD" w:rsidRPr="00A45DB0" w:rsidRDefault="00B918DD" w:rsidP="00B918DD">
            <w:pPr>
              <w:keepNext/>
              <w:spacing w:after="0" w:line="240" w:lineRule="auto"/>
              <w:jc w:val="center"/>
              <w:rPr>
                <w:rFonts w:ascii="Tahoma" w:eastAsia="Times New Roman" w:hAnsi="Tahoma" w:cs="Tahoma"/>
                <w:color w:val="000000"/>
                <w:sz w:val="20"/>
                <w:szCs w:val="20"/>
                <w:lang w:eastAsia="pl-PL"/>
              </w:rPr>
            </w:pPr>
            <w:r w:rsidRPr="00D43902">
              <w:t>156,49% — 160,66%</w:t>
            </w:r>
          </w:p>
        </w:tc>
        <w:tc>
          <w:tcPr>
            <w:tcW w:w="3036" w:type="dxa"/>
            <w:tcBorders>
              <w:top w:val="single" w:sz="4" w:space="0" w:color="95B3D7"/>
              <w:left w:val="nil"/>
              <w:bottom w:val="single" w:sz="4" w:space="0" w:color="95B3D7"/>
              <w:right w:val="nil"/>
            </w:tcBorders>
            <w:noWrap/>
            <w:hideMark/>
          </w:tcPr>
          <w:p w14:paraId="37EB7FD0" w14:textId="203D24CF" w:rsidR="00B918DD" w:rsidRPr="00A45DB0" w:rsidRDefault="00B918DD" w:rsidP="00B918DD">
            <w:pPr>
              <w:keepNext/>
              <w:spacing w:after="0" w:line="240" w:lineRule="auto"/>
              <w:jc w:val="center"/>
              <w:rPr>
                <w:rFonts w:ascii="Tahoma" w:eastAsia="Times New Roman" w:hAnsi="Tahoma" w:cs="Tahoma"/>
                <w:color w:val="000000"/>
                <w:sz w:val="20"/>
                <w:szCs w:val="20"/>
                <w:lang w:eastAsia="pl-PL"/>
              </w:rPr>
            </w:pPr>
            <w:r w:rsidRPr="00D43902">
              <w:t>143,714</w:t>
            </w:r>
          </w:p>
        </w:tc>
        <w:tc>
          <w:tcPr>
            <w:tcW w:w="3488" w:type="dxa"/>
            <w:tcBorders>
              <w:top w:val="single" w:sz="4" w:space="0" w:color="95B3D7"/>
              <w:left w:val="nil"/>
              <w:bottom w:val="single" w:sz="4" w:space="0" w:color="95B3D7"/>
              <w:right w:val="single" w:sz="4" w:space="0" w:color="95B3D7"/>
            </w:tcBorders>
            <w:noWrap/>
            <w:hideMark/>
          </w:tcPr>
          <w:p w14:paraId="6093166B" w14:textId="47C290F3" w:rsidR="00B918DD" w:rsidRPr="00A45DB0" w:rsidRDefault="00B918DD" w:rsidP="00B918DD">
            <w:pPr>
              <w:keepNext/>
              <w:spacing w:after="0" w:line="240" w:lineRule="auto"/>
              <w:jc w:val="center"/>
              <w:rPr>
                <w:rFonts w:ascii="Tahoma" w:eastAsia="Times New Roman" w:hAnsi="Tahoma" w:cs="Tahoma"/>
                <w:color w:val="000000"/>
                <w:sz w:val="20"/>
                <w:szCs w:val="20"/>
                <w:lang w:eastAsia="pl-PL"/>
              </w:rPr>
            </w:pPr>
            <w:r w:rsidRPr="00D43902">
              <w:t>3</w:t>
            </w:r>
          </w:p>
        </w:tc>
      </w:tr>
      <w:tr w:rsidR="00B918DD" w:rsidRPr="00A45DB0" w14:paraId="5914853C" w14:textId="77777777" w:rsidTr="00972F7A">
        <w:trPr>
          <w:trHeight w:val="255"/>
        </w:trPr>
        <w:tc>
          <w:tcPr>
            <w:tcW w:w="2308" w:type="dxa"/>
            <w:tcBorders>
              <w:top w:val="single" w:sz="4" w:space="0" w:color="95B3D7"/>
              <w:left w:val="single" w:sz="4" w:space="0" w:color="95B3D7"/>
              <w:bottom w:val="single" w:sz="4" w:space="0" w:color="95B3D7"/>
              <w:right w:val="nil"/>
            </w:tcBorders>
            <w:shd w:val="clear" w:color="DCE6F1" w:fill="DCE6F1"/>
            <w:noWrap/>
            <w:vAlign w:val="bottom"/>
            <w:hideMark/>
          </w:tcPr>
          <w:p w14:paraId="14090AFD" w14:textId="77777777" w:rsidR="00B918DD" w:rsidRPr="00A45DB0" w:rsidRDefault="00B918DD" w:rsidP="00B918DD">
            <w:pPr>
              <w:keepNext/>
              <w:spacing w:after="0" w:line="240" w:lineRule="auto"/>
              <w:jc w:val="center"/>
              <w:rPr>
                <w:rFonts w:ascii="Tahoma" w:eastAsia="Times New Roman" w:hAnsi="Tahoma" w:cs="Tahoma"/>
                <w:color w:val="000000"/>
                <w:sz w:val="20"/>
                <w:szCs w:val="20"/>
                <w:lang w:eastAsia="pl-PL"/>
              </w:rPr>
            </w:pPr>
            <w:r w:rsidRPr="00A45DB0">
              <w:rPr>
                <w:rFonts w:ascii="Tahoma" w:eastAsia="Times New Roman" w:hAnsi="Tahoma" w:cs="Tahoma"/>
                <w:color w:val="000000"/>
                <w:sz w:val="20"/>
                <w:szCs w:val="20"/>
                <w:lang w:eastAsia="pl-PL"/>
              </w:rPr>
              <w:t>3</w:t>
            </w:r>
          </w:p>
        </w:tc>
        <w:tc>
          <w:tcPr>
            <w:tcW w:w="3636" w:type="dxa"/>
            <w:tcBorders>
              <w:top w:val="single" w:sz="4" w:space="0" w:color="95B3D7"/>
              <w:left w:val="nil"/>
              <w:bottom w:val="single" w:sz="4" w:space="0" w:color="95B3D7"/>
              <w:right w:val="nil"/>
            </w:tcBorders>
            <w:shd w:val="clear" w:color="DCE6F1" w:fill="DCE6F1"/>
            <w:noWrap/>
            <w:hideMark/>
          </w:tcPr>
          <w:p w14:paraId="39F74CF3" w14:textId="385B91FC" w:rsidR="00B918DD" w:rsidRPr="00A45DB0" w:rsidRDefault="00B918DD" w:rsidP="00B918DD">
            <w:pPr>
              <w:keepNext/>
              <w:spacing w:after="0" w:line="240" w:lineRule="auto"/>
              <w:jc w:val="center"/>
              <w:rPr>
                <w:rFonts w:ascii="Tahoma" w:eastAsia="Times New Roman" w:hAnsi="Tahoma" w:cs="Tahoma"/>
                <w:color w:val="000000"/>
                <w:sz w:val="20"/>
                <w:szCs w:val="20"/>
                <w:lang w:eastAsia="pl-PL"/>
              </w:rPr>
            </w:pPr>
            <w:r w:rsidRPr="00D43902">
              <w:t>160,66% — 173,01%</w:t>
            </w:r>
          </w:p>
        </w:tc>
        <w:tc>
          <w:tcPr>
            <w:tcW w:w="3036" w:type="dxa"/>
            <w:tcBorders>
              <w:top w:val="single" w:sz="4" w:space="0" w:color="95B3D7"/>
              <w:left w:val="nil"/>
              <w:bottom w:val="single" w:sz="4" w:space="0" w:color="95B3D7"/>
              <w:right w:val="nil"/>
            </w:tcBorders>
            <w:shd w:val="clear" w:color="DCE6F1" w:fill="DCE6F1"/>
            <w:noWrap/>
            <w:hideMark/>
          </w:tcPr>
          <w:p w14:paraId="5F4FD33A" w14:textId="07D2D43F" w:rsidR="00B918DD" w:rsidRPr="00A45DB0" w:rsidRDefault="00B918DD" w:rsidP="00B918DD">
            <w:pPr>
              <w:keepNext/>
              <w:spacing w:after="0" w:line="240" w:lineRule="auto"/>
              <w:jc w:val="center"/>
              <w:rPr>
                <w:rFonts w:ascii="Tahoma" w:eastAsia="Times New Roman" w:hAnsi="Tahoma" w:cs="Tahoma"/>
                <w:color w:val="000000"/>
                <w:sz w:val="20"/>
                <w:szCs w:val="20"/>
                <w:lang w:eastAsia="pl-PL"/>
              </w:rPr>
            </w:pPr>
            <w:r w:rsidRPr="00D43902">
              <w:t>286,429</w:t>
            </w:r>
          </w:p>
        </w:tc>
        <w:tc>
          <w:tcPr>
            <w:tcW w:w="3488" w:type="dxa"/>
            <w:tcBorders>
              <w:top w:val="single" w:sz="4" w:space="0" w:color="95B3D7"/>
              <w:left w:val="nil"/>
              <w:bottom w:val="single" w:sz="4" w:space="0" w:color="95B3D7"/>
              <w:right w:val="single" w:sz="4" w:space="0" w:color="95B3D7"/>
            </w:tcBorders>
            <w:shd w:val="clear" w:color="DCE6F1" w:fill="DCE6F1"/>
            <w:noWrap/>
            <w:hideMark/>
          </w:tcPr>
          <w:p w14:paraId="146746D1" w14:textId="315F56E8" w:rsidR="00B918DD" w:rsidRPr="00A45DB0" w:rsidRDefault="00B918DD" w:rsidP="00B918DD">
            <w:pPr>
              <w:keepNext/>
              <w:spacing w:after="0" w:line="240" w:lineRule="auto"/>
              <w:jc w:val="center"/>
              <w:rPr>
                <w:rFonts w:ascii="Tahoma" w:eastAsia="Times New Roman" w:hAnsi="Tahoma" w:cs="Tahoma"/>
                <w:color w:val="000000"/>
                <w:sz w:val="20"/>
                <w:szCs w:val="20"/>
                <w:lang w:eastAsia="pl-PL"/>
              </w:rPr>
            </w:pPr>
            <w:r w:rsidRPr="00D43902">
              <w:t>3</w:t>
            </w:r>
          </w:p>
        </w:tc>
      </w:tr>
      <w:tr w:rsidR="00B918DD" w:rsidRPr="00A45DB0" w14:paraId="4390ED67" w14:textId="77777777" w:rsidTr="00972F7A">
        <w:trPr>
          <w:trHeight w:val="255"/>
        </w:trPr>
        <w:tc>
          <w:tcPr>
            <w:tcW w:w="2308" w:type="dxa"/>
            <w:tcBorders>
              <w:top w:val="single" w:sz="4" w:space="0" w:color="95B3D7"/>
              <w:left w:val="single" w:sz="4" w:space="0" w:color="95B3D7"/>
              <w:bottom w:val="single" w:sz="4" w:space="0" w:color="95B3D7"/>
              <w:right w:val="nil"/>
            </w:tcBorders>
            <w:noWrap/>
            <w:vAlign w:val="bottom"/>
            <w:hideMark/>
          </w:tcPr>
          <w:p w14:paraId="03482950" w14:textId="77777777" w:rsidR="00B918DD" w:rsidRPr="00A45DB0" w:rsidRDefault="00B918DD" w:rsidP="00B918DD">
            <w:pPr>
              <w:keepNext/>
              <w:spacing w:after="0" w:line="240" w:lineRule="auto"/>
              <w:jc w:val="center"/>
              <w:rPr>
                <w:rFonts w:ascii="Tahoma" w:eastAsia="Times New Roman" w:hAnsi="Tahoma" w:cs="Tahoma"/>
                <w:color w:val="000000"/>
                <w:sz w:val="20"/>
                <w:szCs w:val="20"/>
                <w:lang w:eastAsia="pl-PL"/>
              </w:rPr>
            </w:pPr>
            <w:r w:rsidRPr="00A45DB0">
              <w:rPr>
                <w:rFonts w:ascii="Tahoma" w:eastAsia="Times New Roman" w:hAnsi="Tahoma" w:cs="Tahoma"/>
                <w:color w:val="000000"/>
                <w:sz w:val="20"/>
                <w:szCs w:val="20"/>
                <w:lang w:eastAsia="pl-PL"/>
              </w:rPr>
              <w:t>4</w:t>
            </w:r>
          </w:p>
        </w:tc>
        <w:tc>
          <w:tcPr>
            <w:tcW w:w="3636" w:type="dxa"/>
            <w:tcBorders>
              <w:top w:val="single" w:sz="4" w:space="0" w:color="95B3D7"/>
              <w:left w:val="nil"/>
              <w:bottom w:val="single" w:sz="4" w:space="0" w:color="95B3D7"/>
              <w:right w:val="nil"/>
            </w:tcBorders>
            <w:noWrap/>
            <w:hideMark/>
          </w:tcPr>
          <w:p w14:paraId="0265A5BA" w14:textId="5E161854" w:rsidR="00B918DD" w:rsidRPr="00A45DB0" w:rsidRDefault="00B918DD" w:rsidP="00B918DD">
            <w:pPr>
              <w:keepNext/>
              <w:spacing w:after="0" w:line="240" w:lineRule="auto"/>
              <w:jc w:val="center"/>
              <w:rPr>
                <w:rFonts w:ascii="Tahoma" w:eastAsia="Times New Roman" w:hAnsi="Tahoma" w:cs="Tahoma"/>
                <w:color w:val="000000"/>
                <w:sz w:val="20"/>
                <w:szCs w:val="20"/>
                <w:lang w:eastAsia="pl-PL"/>
              </w:rPr>
            </w:pPr>
            <w:r w:rsidRPr="00D43902">
              <w:t>173,01% — 178,65%</w:t>
            </w:r>
          </w:p>
        </w:tc>
        <w:tc>
          <w:tcPr>
            <w:tcW w:w="3036" w:type="dxa"/>
            <w:tcBorders>
              <w:top w:val="single" w:sz="4" w:space="0" w:color="95B3D7"/>
              <w:left w:val="nil"/>
              <w:bottom w:val="single" w:sz="4" w:space="0" w:color="95B3D7"/>
              <w:right w:val="nil"/>
            </w:tcBorders>
            <w:noWrap/>
            <w:hideMark/>
          </w:tcPr>
          <w:p w14:paraId="109384E0" w14:textId="521170D5" w:rsidR="00B918DD" w:rsidRPr="00A45DB0" w:rsidRDefault="00B918DD" w:rsidP="00B918DD">
            <w:pPr>
              <w:keepNext/>
              <w:spacing w:after="0" w:line="240" w:lineRule="auto"/>
              <w:jc w:val="center"/>
              <w:rPr>
                <w:rFonts w:ascii="Tahoma" w:eastAsia="Times New Roman" w:hAnsi="Tahoma" w:cs="Tahoma"/>
                <w:color w:val="000000"/>
                <w:sz w:val="20"/>
                <w:szCs w:val="20"/>
                <w:lang w:eastAsia="pl-PL"/>
              </w:rPr>
            </w:pPr>
            <w:r w:rsidRPr="00D43902">
              <w:t>429,143</w:t>
            </w:r>
          </w:p>
        </w:tc>
        <w:tc>
          <w:tcPr>
            <w:tcW w:w="3488" w:type="dxa"/>
            <w:tcBorders>
              <w:top w:val="single" w:sz="4" w:space="0" w:color="95B3D7"/>
              <w:left w:val="nil"/>
              <w:bottom w:val="single" w:sz="4" w:space="0" w:color="95B3D7"/>
              <w:right w:val="single" w:sz="4" w:space="0" w:color="95B3D7"/>
            </w:tcBorders>
            <w:noWrap/>
            <w:hideMark/>
          </w:tcPr>
          <w:p w14:paraId="065D479C" w14:textId="7F92F007" w:rsidR="00B918DD" w:rsidRPr="00A45DB0" w:rsidRDefault="00B918DD" w:rsidP="00B918DD">
            <w:pPr>
              <w:keepNext/>
              <w:spacing w:after="0" w:line="240" w:lineRule="auto"/>
              <w:jc w:val="center"/>
              <w:rPr>
                <w:rFonts w:ascii="Tahoma" w:eastAsia="Times New Roman" w:hAnsi="Tahoma" w:cs="Tahoma"/>
                <w:color w:val="000000"/>
                <w:sz w:val="20"/>
                <w:szCs w:val="20"/>
                <w:lang w:eastAsia="pl-PL"/>
              </w:rPr>
            </w:pPr>
            <w:r w:rsidRPr="00D43902">
              <w:t>3</w:t>
            </w:r>
          </w:p>
        </w:tc>
      </w:tr>
      <w:tr w:rsidR="00B918DD" w:rsidRPr="00A45DB0" w14:paraId="0D5A9816" w14:textId="77777777" w:rsidTr="00972F7A">
        <w:trPr>
          <w:trHeight w:val="255"/>
        </w:trPr>
        <w:tc>
          <w:tcPr>
            <w:tcW w:w="2308" w:type="dxa"/>
            <w:tcBorders>
              <w:top w:val="single" w:sz="4" w:space="0" w:color="95B3D7"/>
              <w:left w:val="single" w:sz="4" w:space="0" w:color="95B3D7"/>
              <w:bottom w:val="single" w:sz="4" w:space="0" w:color="95B3D7"/>
              <w:right w:val="nil"/>
            </w:tcBorders>
            <w:shd w:val="clear" w:color="DCE6F1" w:fill="DCE6F1"/>
            <w:noWrap/>
            <w:vAlign w:val="bottom"/>
            <w:hideMark/>
          </w:tcPr>
          <w:p w14:paraId="29F065E0" w14:textId="77777777" w:rsidR="00B918DD" w:rsidRPr="00A45DB0" w:rsidRDefault="00B918DD" w:rsidP="00B918DD">
            <w:pPr>
              <w:keepNext/>
              <w:spacing w:after="0" w:line="240" w:lineRule="auto"/>
              <w:jc w:val="center"/>
              <w:rPr>
                <w:rFonts w:ascii="Tahoma" w:eastAsia="Times New Roman" w:hAnsi="Tahoma" w:cs="Tahoma"/>
                <w:color w:val="000000"/>
                <w:sz w:val="20"/>
                <w:szCs w:val="20"/>
                <w:lang w:eastAsia="pl-PL"/>
              </w:rPr>
            </w:pPr>
            <w:r w:rsidRPr="00A45DB0">
              <w:rPr>
                <w:rFonts w:ascii="Tahoma" w:eastAsia="Times New Roman" w:hAnsi="Tahoma" w:cs="Tahoma"/>
                <w:color w:val="000000"/>
                <w:sz w:val="20"/>
                <w:szCs w:val="20"/>
                <w:lang w:eastAsia="pl-PL"/>
              </w:rPr>
              <w:t>5</w:t>
            </w:r>
          </w:p>
        </w:tc>
        <w:tc>
          <w:tcPr>
            <w:tcW w:w="3636" w:type="dxa"/>
            <w:tcBorders>
              <w:top w:val="single" w:sz="4" w:space="0" w:color="95B3D7"/>
              <w:left w:val="nil"/>
              <w:bottom w:val="single" w:sz="4" w:space="0" w:color="95B3D7"/>
              <w:right w:val="nil"/>
            </w:tcBorders>
            <w:shd w:val="clear" w:color="DCE6F1" w:fill="DCE6F1"/>
            <w:noWrap/>
            <w:hideMark/>
          </w:tcPr>
          <w:p w14:paraId="06810165" w14:textId="3BAE47A6" w:rsidR="00B918DD" w:rsidRPr="00A45DB0" w:rsidRDefault="00B918DD" w:rsidP="00B918DD">
            <w:pPr>
              <w:keepNext/>
              <w:spacing w:after="0" w:line="240" w:lineRule="auto"/>
              <w:jc w:val="center"/>
              <w:rPr>
                <w:rFonts w:ascii="Tahoma" w:eastAsia="Times New Roman" w:hAnsi="Tahoma" w:cs="Tahoma"/>
                <w:color w:val="000000"/>
                <w:sz w:val="20"/>
                <w:szCs w:val="20"/>
                <w:lang w:eastAsia="pl-PL"/>
              </w:rPr>
            </w:pPr>
            <w:r w:rsidRPr="00D43902">
              <w:t>178,65% — 201,41%</w:t>
            </w:r>
          </w:p>
        </w:tc>
        <w:tc>
          <w:tcPr>
            <w:tcW w:w="3036" w:type="dxa"/>
            <w:tcBorders>
              <w:top w:val="single" w:sz="4" w:space="0" w:color="95B3D7"/>
              <w:left w:val="nil"/>
              <w:bottom w:val="single" w:sz="4" w:space="0" w:color="95B3D7"/>
              <w:right w:val="nil"/>
            </w:tcBorders>
            <w:shd w:val="clear" w:color="DCE6F1" w:fill="DCE6F1"/>
            <w:noWrap/>
            <w:hideMark/>
          </w:tcPr>
          <w:p w14:paraId="1E1F29F4" w14:textId="0D6AB33C" w:rsidR="00B918DD" w:rsidRPr="00A45DB0" w:rsidRDefault="00B918DD" w:rsidP="00B918DD">
            <w:pPr>
              <w:keepNext/>
              <w:spacing w:after="0" w:line="240" w:lineRule="auto"/>
              <w:jc w:val="center"/>
              <w:rPr>
                <w:rFonts w:ascii="Tahoma" w:eastAsia="Times New Roman" w:hAnsi="Tahoma" w:cs="Tahoma"/>
                <w:color w:val="000000"/>
                <w:sz w:val="20"/>
                <w:szCs w:val="20"/>
                <w:lang w:eastAsia="pl-PL"/>
              </w:rPr>
            </w:pPr>
            <w:r w:rsidRPr="00D43902">
              <w:t>571,857</w:t>
            </w:r>
          </w:p>
        </w:tc>
        <w:tc>
          <w:tcPr>
            <w:tcW w:w="3488" w:type="dxa"/>
            <w:tcBorders>
              <w:top w:val="single" w:sz="4" w:space="0" w:color="95B3D7"/>
              <w:left w:val="nil"/>
              <w:bottom w:val="single" w:sz="4" w:space="0" w:color="95B3D7"/>
              <w:right w:val="single" w:sz="4" w:space="0" w:color="95B3D7"/>
            </w:tcBorders>
            <w:shd w:val="clear" w:color="DCE6F1" w:fill="DCE6F1"/>
            <w:noWrap/>
            <w:hideMark/>
          </w:tcPr>
          <w:p w14:paraId="2C993A34" w14:textId="0520D322" w:rsidR="00B918DD" w:rsidRPr="00A45DB0" w:rsidRDefault="00B918DD" w:rsidP="00B918DD">
            <w:pPr>
              <w:keepNext/>
              <w:spacing w:after="0" w:line="240" w:lineRule="auto"/>
              <w:jc w:val="center"/>
              <w:rPr>
                <w:rFonts w:ascii="Tahoma" w:eastAsia="Times New Roman" w:hAnsi="Tahoma" w:cs="Tahoma"/>
                <w:color w:val="000000"/>
                <w:sz w:val="20"/>
                <w:szCs w:val="20"/>
                <w:lang w:eastAsia="pl-PL"/>
              </w:rPr>
            </w:pPr>
            <w:r w:rsidRPr="00D43902">
              <w:t>3</w:t>
            </w:r>
          </w:p>
        </w:tc>
      </w:tr>
      <w:tr w:rsidR="00B918DD" w:rsidRPr="00A45DB0" w14:paraId="5B418F64" w14:textId="77777777" w:rsidTr="00972F7A">
        <w:trPr>
          <w:trHeight w:val="255"/>
        </w:trPr>
        <w:tc>
          <w:tcPr>
            <w:tcW w:w="2308" w:type="dxa"/>
            <w:tcBorders>
              <w:top w:val="single" w:sz="4" w:space="0" w:color="95B3D7"/>
              <w:left w:val="single" w:sz="4" w:space="0" w:color="95B3D7"/>
              <w:bottom w:val="single" w:sz="4" w:space="0" w:color="95B3D7"/>
              <w:right w:val="nil"/>
            </w:tcBorders>
            <w:noWrap/>
            <w:vAlign w:val="bottom"/>
            <w:hideMark/>
          </w:tcPr>
          <w:p w14:paraId="67894A7F" w14:textId="77777777" w:rsidR="00B918DD" w:rsidRPr="00A45DB0" w:rsidRDefault="00B918DD" w:rsidP="00B918DD">
            <w:pPr>
              <w:keepNext/>
              <w:spacing w:after="0" w:line="240" w:lineRule="auto"/>
              <w:jc w:val="center"/>
              <w:rPr>
                <w:rFonts w:ascii="Tahoma" w:eastAsia="Times New Roman" w:hAnsi="Tahoma" w:cs="Tahoma"/>
                <w:color w:val="000000"/>
                <w:sz w:val="20"/>
                <w:szCs w:val="20"/>
                <w:lang w:eastAsia="pl-PL"/>
              </w:rPr>
            </w:pPr>
            <w:r w:rsidRPr="00A45DB0">
              <w:rPr>
                <w:rFonts w:ascii="Tahoma" w:eastAsia="Times New Roman" w:hAnsi="Tahoma" w:cs="Tahoma"/>
                <w:color w:val="000000"/>
                <w:sz w:val="20"/>
                <w:szCs w:val="20"/>
                <w:lang w:eastAsia="pl-PL"/>
              </w:rPr>
              <w:t>6</w:t>
            </w:r>
          </w:p>
        </w:tc>
        <w:tc>
          <w:tcPr>
            <w:tcW w:w="3636" w:type="dxa"/>
            <w:tcBorders>
              <w:top w:val="single" w:sz="4" w:space="0" w:color="95B3D7"/>
              <w:left w:val="nil"/>
              <w:bottom w:val="single" w:sz="4" w:space="0" w:color="95B3D7"/>
              <w:right w:val="nil"/>
            </w:tcBorders>
            <w:noWrap/>
            <w:hideMark/>
          </w:tcPr>
          <w:p w14:paraId="18FBE76B" w14:textId="4432621C" w:rsidR="00B918DD" w:rsidRPr="00A45DB0" w:rsidRDefault="00B918DD" w:rsidP="00B918DD">
            <w:pPr>
              <w:keepNext/>
              <w:spacing w:after="0" w:line="240" w:lineRule="auto"/>
              <w:jc w:val="center"/>
              <w:rPr>
                <w:rFonts w:ascii="Tahoma" w:eastAsia="Times New Roman" w:hAnsi="Tahoma" w:cs="Tahoma"/>
                <w:color w:val="000000"/>
                <w:sz w:val="20"/>
                <w:szCs w:val="20"/>
                <w:lang w:eastAsia="pl-PL"/>
              </w:rPr>
            </w:pPr>
            <w:r w:rsidRPr="00D43902">
              <w:t>201,41% — 215,69%</w:t>
            </w:r>
          </w:p>
        </w:tc>
        <w:tc>
          <w:tcPr>
            <w:tcW w:w="3036" w:type="dxa"/>
            <w:tcBorders>
              <w:top w:val="single" w:sz="4" w:space="0" w:color="95B3D7"/>
              <w:left w:val="nil"/>
              <w:bottom w:val="single" w:sz="4" w:space="0" w:color="95B3D7"/>
              <w:right w:val="nil"/>
            </w:tcBorders>
            <w:noWrap/>
            <w:hideMark/>
          </w:tcPr>
          <w:p w14:paraId="12E9C253" w14:textId="54E9A782" w:rsidR="00B918DD" w:rsidRPr="00A45DB0" w:rsidRDefault="00B918DD" w:rsidP="00B918DD">
            <w:pPr>
              <w:keepNext/>
              <w:spacing w:after="0" w:line="240" w:lineRule="auto"/>
              <w:jc w:val="center"/>
              <w:rPr>
                <w:rFonts w:ascii="Tahoma" w:eastAsia="Times New Roman" w:hAnsi="Tahoma" w:cs="Tahoma"/>
                <w:color w:val="000000"/>
                <w:sz w:val="20"/>
                <w:szCs w:val="20"/>
                <w:lang w:eastAsia="pl-PL"/>
              </w:rPr>
            </w:pPr>
            <w:r w:rsidRPr="00D43902">
              <w:t>714,571</w:t>
            </w:r>
          </w:p>
        </w:tc>
        <w:tc>
          <w:tcPr>
            <w:tcW w:w="3488" w:type="dxa"/>
            <w:tcBorders>
              <w:top w:val="single" w:sz="4" w:space="0" w:color="95B3D7"/>
              <w:left w:val="nil"/>
              <w:bottom w:val="single" w:sz="4" w:space="0" w:color="95B3D7"/>
              <w:right w:val="single" w:sz="4" w:space="0" w:color="95B3D7"/>
            </w:tcBorders>
            <w:noWrap/>
            <w:hideMark/>
          </w:tcPr>
          <w:p w14:paraId="2CD0A473" w14:textId="0ADD134E" w:rsidR="00B918DD" w:rsidRPr="00A45DB0" w:rsidRDefault="00B918DD" w:rsidP="00B918DD">
            <w:pPr>
              <w:keepNext/>
              <w:spacing w:after="0" w:line="240" w:lineRule="auto"/>
              <w:jc w:val="center"/>
              <w:rPr>
                <w:rFonts w:ascii="Tahoma" w:eastAsia="Times New Roman" w:hAnsi="Tahoma" w:cs="Tahoma"/>
                <w:color w:val="000000"/>
                <w:sz w:val="20"/>
                <w:szCs w:val="20"/>
                <w:lang w:eastAsia="pl-PL"/>
              </w:rPr>
            </w:pPr>
            <w:r w:rsidRPr="00D43902">
              <w:t>3</w:t>
            </w:r>
          </w:p>
        </w:tc>
      </w:tr>
      <w:tr w:rsidR="00B918DD" w:rsidRPr="00A45DB0" w14:paraId="6B90F4EA" w14:textId="77777777" w:rsidTr="00972F7A">
        <w:trPr>
          <w:trHeight w:val="255"/>
        </w:trPr>
        <w:tc>
          <w:tcPr>
            <w:tcW w:w="2308" w:type="dxa"/>
            <w:tcBorders>
              <w:top w:val="single" w:sz="4" w:space="0" w:color="95B3D7"/>
              <w:left w:val="single" w:sz="4" w:space="0" w:color="95B3D7"/>
              <w:bottom w:val="single" w:sz="4" w:space="0" w:color="95B3D7"/>
              <w:right w:val="nil"/>
            </w:tcBorders>
            <w:shd w:val="clear" w:color="DCE6F1" w:fill="DCE6F1"/>
            <w:noWrap/>
            <w:vAlign w:val="bottom"/>
            <w:hideMark/>
          </w:tcPr>
          <w:p w14:paraId="7D26D155" w14:textId="77777777" w:rsidR="00B918DD" w:rsidRPr="00A45DB0" w:rsidRDefault="00B918DD" w:rsidP="00B918DD">
            <w:pPr>
              <w:keepNext/>
              <w:spacing w:after="0" w:line="240" w:lineRule="auto"/>
              <w:jc w:val="center"/>
              <w:rPr>
                <w:rFonts w:ascii="Tahoma" w:eastAsia="Times New Roman" w:hAnsi="Tahoma" w:cs="Tahoma"/>
                <w:color w:val="000000"/>
                <w:sz w:val="20"/>
                <w:szCs w:val="20"/>
                <w:lang w:eastAsia="pl-PL"/>
              </w:rPr>
            </w:pPr>
            <w:r w:rsidRPr="00A45DB0">
              <w:rPr>
                <w:rFonts w:ascii="Tahoma" w:eastAsia="Times New Roman" w:hAnsi="Tahoma" w:cs="Tahoma"/>
                <w:color w:val="000000"/>
                <w:sz w:val="20"/>
                <w:szCs w:val="20"/>
                <w:lang w:eastAsia="pl-PL"/>
              </w:rPr>
              <w:t>7</w:t>
            </w:r>
          </w:p>
        </w:tc>
        <w:tc>
          <w:tcPr>
            <w:tcW w:w="3636" w:type="dxa"/>
            <w:tcBorders>
              <w:top w:val="single" w:sz="4" w:space="0" w:color="95B3D7"/>
              <w:left w:val="nil"/>
              <w:bottom w:val="single" w:sz="4" w:space="0" w:color="95B3D7"/>
              <w:right w:val="nil"/>
            </w:tcBorders>
            <w:shd w:val="clear" w:color="DCE6F1" w:fill="DCE6F1"/>
            <w:noWrap/>
            <w:hideMark/>
          </w:tcPr>
          <w:p w14:paraId="55399A32" w14:textId="7B4C96A4" w:rsidR="00B918DD" w:rsidRPr="00A45DB0" w:rsidRDefault="00B918DD" w:rsidP="00B918DD">
            <w:pPr>
              <w:keepNext/>
              <w:spacing w:after="0" w:line="240" w:lineRule="auto"/>
              <w:jc w:val="center"/>
              <w:rPr>
                <w:rFonts w:ascii="Tahoma" w:eastAsia="Times New Roman" w:hAnsi="Tahoma" w:cs="Tahoma"/>
                <w:color w:val="000000"/>
                <w:sz w:val="20"/>
                <w:szCs w:val="20"/>
                <w:lang w:eastAsia="pl-PL"/>
              </w:rPr>
            </w:pPr>
            <w:r w:rsidRPr="00D43902">
              <w:t>215,69% — 256,89%</w:t>
            </w:r>
          </w:p>
        </w:tc>
        <w:tc>
          <w:tcPr>
            <w:tcW w:w="3036" w:type="dxa"/>
            <w:tcBorders>
              <w:top w:val="single" w:sz="4" w:space="0" w:color="95B3D7"/>
              <w:left w:val="nil"/>
              <w:bottom w:val="single" w:sz="4" w:space="0" w:color="95B3D7"/>
              <w:right w:val="nil"/>
            </w:tcBorders>
            <w:shd w:val="clear" w:color="DCE6F1" w:fill="DCE6F1"/>
            <w:noWrap/>
            <w:hideMark/>
          </w:tcPr>
          <w:p w14:paraId="1DDD54CC" w14:textId="4C3E7CF6" w:rsidR="00B918DD" w:rsidRPr="00A45DB0" w:rsidRDefault="00B918DD" w:rsidP="00B918DD">
            <w:pPr>
              <w:keepNext/>
              <w:spacing w:after="0" w:line="240" w:lineRule="auto"/>
              <w:jc w:val="center"/>
              <w:rPr>
                <w:rFonts w:ascii="Tahoma" w:eastAsia="Times New Roman" w:hAnsi="Tahoma" w:cs="Tahoma"/>
                <w:color w:val="000000"/>
                <w:sz w:val="20"/>
                <w:szCs w:val="20"/>
                <w:lang w:eastAsia="pl-PL"/>
              </w:rPr>
            </w:pPr>
            <w:r w:rsidRPr="00D43902">
              <w:t>857,286</w:t>
            </w:r>
          </w:p>
        </w:tc>
        <w:tc>
          <w:tcPr>
            <w:tcW w:w="3488" w:type="dxa"/>
            <w:tcBorders>
              <w:top w:val="single" w:sz="4" w:space="0" w:color="95B3D7"/>
              <w:left w:val="nil"/>
              <w:bottom w:val="single" w:sz="4" w:space="0" w:color="95B3D7"/>
              <w:right w:val="single" w:sz="4" w:space="0" w:color="95B3D7"/>
            </w:tcBorders>
            <w:shd w:val="clear" w:color="DCE6F1" w:fill="DCE6F1"/>
            <w:noWrap/>
            <w:hideMark/>
          </w:tcPr>
          <w:p w14:paraId="4F0AC769" w14:textId="6156A980" w:rsidR="00B918DD" w:rsidRPr="00A45DB0" w:rsidRDefault="00B918DD" w:rsidP="00B918DD">
            <w:pPr>
              <w:keepNext/>
              <w:spacing w:after="0" w:line="240" w:lineRule="auto"/>
              <w:jc w:val="center"/>
              <w:rPr>
                <w:rFonts w:ascii="Tahoma" w:eastAsia="Times New Roman" w:hAnsi="Tahoma" w:cs="Tahoma"/>
                <w:color w:val="000000"/>
                <w:sz w:val="20"/>
                <w:szCs w:val="20"/>
                <w:lang w:eastAsia="pl-PL"/>
              </w:rPr>
            </w:pPr>
            <w:r w:rsidRPr="00D43902">
              <w:t>3</w:t>
            </w:r>
          </w:p>
        </w:tc>
      </w:tr>
      <w:tr w:rsidR="00B918DD" w:rsidRPr="00A45DB0" w14:paraId="793ED369" w14:textId="77777777" w:rsidTr="00972F7A">
        <w:trPr>
          <w:trHeight w:val="255"/>
        </w:trPr>
        <w:tc>
          <w:tcPr>
            <w:tcW w:w="2308" w:type="dxa"/>
            <w:tcBorders>
              <w:top w:val="single" w:sz="4" w:space="0" w:color="95B3D7"/>
              <w:left w:val="single" w:sz="4" w:space="0" w:color="95B3D7"/>
              <w:bottom w:val="single" w:sz="4" w:space="0" w:color="95B3D7"/>
              <w:right w:val="nil"/>
            </w:tcBorders>
            <w:noWrap/>
            <w:vAlign w:val="bottom"/>
            <w:hideMark/>
          </w:tcPr>
          <w:p w14:paraId="331092D2" w14:textId="77777777" w:rsidR="00B918DD" w:rsidRPr="00A45DB0" w:rsidRDefault="00B918DD" w:rsidP="00B918DD">
            <w:pPr>
              <w:spacing w:after="0" w:line="240" w:lineRule="auto"/>
              <w:jc w:val="center"/>
              <w:rPr>
                <w:rFonts w:ascii="Tahoma" w:eastAsia="Times New Roman" w:hAnsi="Tahoma" w:cs="Tahoma"/>
                <w:color w:val="000000"/>
                <w:sz w:val="20"/>
                <w:szCs w:val="20"/>
                <w:lang w:eastAsia="pl-PL"/>
              </w:rPr>
            </w:pPr>
            <w:r w:rsidRPr="00A45DB0">
              <w:rPr>
                <w:rFonts w:ascii="Tahoma" w:eastAsia="Times New Roman" w:hAnsi="Tahoma" w:cs="Tahoma"/>
                <w:color w:val="000000"/>
                <w:sz w:val="20"/>
                <w:szCs w:val="20"/>
                <w:lang w:eastAsia="pl-PL"/>
              </w:rPr>
              <w:t>8</w:t>
            </w:r>
          </w:p>
        </w:tc>
        <w:tc>
          <w:tcPr>
            <w:tcW w:w="3636" w:type="dxa"/>
            <w:tcBorders>
              <w:top w:val="single" w:sz="4" w:space="0" w:color="95B3D7"/>
              <w:left w:val="nil"/>
              <w:bottom w:val="single" w:sz="4" w:space="0" w:color="95B3D7"/>
              <w:right w:val="nil"/>
            </w:tcBorders>
            <w:noWrap/>
            <w:hideMark/>
          </w:tcPr>
          <w:p w14:paraId="1DDD45A7" w14:textId="37B93D63" w:rsidR="00B918DD" w:rsidRPr="00A45DB0" w:rsidRDefault="00B918DD" w:rsidP="00B918DD">
            <w:pPr>
              <w:spacing w:after="0" w:line="240" w:lineRule="auto"/>
              <w:jc w:val="center"/>
              <w:rPr>
                <w:rFonts w:ascii="Tahoma" w:eastAsia="Times New Roman" w:hAnsi="Tahoma" w:cs="Tahoma"/>
                <w:color w:val="000000"/>
                <w:sz w:val="20"/>
                <w:szCs w:val="20"/>
                <w:lang w:eastAsia="pl-PL"/>
              </w:rPr>
            </w:pPr>
            <w:r w:rsidRPr="00D43902">
              <w:t xml:space="preserve">256,89% — </w:t>
            </w:r>
          </w:p>
        </w:tc>
        <w:tc>
          <w:tcPr>
            <w:tcW w:w="3036" w:type="dxa"/>
            <w:tcBorders>
              <w:top w:val="single" w:sz="4" w:space="0" w:color="95B3D7"/>
              <w:left w:val="nil"/>
              <w:bottom w:val="single" w:sz="4" w:space="0" w:color="95B3D7"/>
              <w:right w:val="nil"/>
            </w:tcBorders>
            <w:noWrap/>
            <w:hideMark/>
          </w:tcPr>
          <w:p w14:paraId="4CC5D675" w14:textId="1588CA31" w:rsidR="00B918DD" w:rsidRPr="00A45DB0" w:rsidRDefault="00B918DD" w:rsidP="00B918DD">
            <w:pPr>
              <w:spacing w:after="0" w:line="240" w:lineRule="auto"/>
              <w:jc w:val="center"/>
              <w:rPr>
                <w:rFonts w:ascii="Tahoma" w:eastAsia="Times New Roman" w:hAnsi="Tahoma" w:cs="Tahoma"/>
                <w:color w:val="000000"/>
                <w:sz w:val="20"/>
                <w:szCs w:val="20"/>
                <w:lang w:eastAsia="pl-PL"/>
              </w:rPr>
            </w:pPr>
            <w:r w:rsidRPr="00D43902">
              <w:t>1000</w:t>
            </w:r>
          </w:p>
        </w:tc>
        <w:tc>
          <w:tcPr>
            <w:tcW w:w="3488" w:type="dxa"/>
            <w:tcBorders>
              <w:top w:val="single" w:sz="4" w:space="0" w:color="95B3D7"/>
              <w:left w:val="nil"/>
              <w:bottom w:val="single" w:sz="4" w:space="0" w:color="95B3D7"/>
              <w:right w:val="single" w:sz="4" w:space="0" w:color="95B3D7"/>
            </w:tcBorders>
            <w:noWrap/>
            <w:hideMark/>
          </w:tcPr>
          <w:p w14:paraId="5CC12895" w14:textId="08C054FE" w:rsidR="00B918DD" w:rsidRPr="00A45DB0" w:rsidRDefault="00B918DD" w:rsidP="00B918DD">
            <w:pPr>
              <w:spacing w:after="0" w:line="240" w:lineRule="auto"/>
              <w:jc w:val="center"/>
              <w:rPr>
                <w:rFonts w:ascii="Tahoma" w:eastAsia="Times New Roman" w:hAnsi="Tahoma" w:cs="Tahoma"/>
                <w:color w:val="000000"/>
                <w:sz w:val="20"/>
                <w:szCs w:val="20"/>
                <w:lang w:eastAsia="pl-PL"/>
              </w:rPr>
            </w:pPr>
            <w:r w:rsidRPr="00D43902">
              <w:t>3</w:t>
            </w:r>
          </w:p>
        </w:tc>
      </w:tr>
    </w:tbl>
    <w:p w14:paraId="6F6562CA" w14:textId="77777777" w:rsidR="00A45DB0" w:rsidRPr="00A45DB0" w:rsidRDefault="00A45DB0">
      <w:pPr>
        <w:rPr>
          <w:rFonts w:cstheme="minorHAnsi"/>
          <w:iCs/>
          <w:highlight w:val="yellow"/>
        </w:rPr>
      </w:pPr>
    </w:p>
    <w:p w14:paraId="2DBE94BA" w14:textId="77777777" w:rsidR="00B468B2" w:rsidRPr="00C75DD7" w:rsidRDefault="0053756E" w:rsidP="00244D55">
      <w:pPr>
        <w:keepNext/>
        <w:shd w:val="clear" w:color="auto" w:fill="FFFFFF"/>
        <w:spacing w:before="312" w:after="120" w:line="240" w:lineRule="auto"/>
        <w:rPr>
          <w:rFonts w:eastAsia="Times New Roman" w:cstheme="minorHAnsi"/>
          <w:b/>
          <w:iCs/>
          <w:color w:val="000000"/>
          <w:szCs w:val="20"/>
          <w:lang w:eastAsia="pl-PL"/>
        </w:rPr>
      </w:pPr>
      <w:r w:rsidRPr="00C75DD7">
        <w:rPr>
          <w:rFonts w:eastAsia="Times New Roman" w:cstheme="minorHAnsi"/>
          <w:b/>
          <w:iCs/>
          <w:color w:val="000000"/>
          <w:szCs w:val="20"/>
          <w:lang w:eastAsia="pl-PL"/>
        </w:rPr>
        <w:t>Udział w kredytach i depozytach międzybankowych</w:t>
      </w:r>
    </w:p>
    <w:p w14:paraId="3CB77F7D" w14:textId="119ACE26" w:rsidR="00B66B00" w:rsidRDefault="00B66B00">
      <w:pPr>
        <w:rPr>
          <w:rFonts w:eastAsia="Times New Roman" w:cstheme="minorHAnsi"/>
          <w:b/>
          <w:iCs/>
          <w:color w:val="000000"/>
          <w:szCs w:val="20"/>
          <w:lang w:eastAsia="pl-PL"/>
        </w:rPr>
      </w:pPr>
    </w:p>
    <w:tbl>
      <w:tblPr>
        <w:tblW w:w="12420" w:type="dxa"/>
        <w:tblCellMar>
          <w:left w:w="70" w:type="dxa"/>
          <w:right w:w="70" w:type="dxa"/>
        </w:tblCellMar>
        <w:tblLook w:val="04A0" w:firstRow="1" w:lastRow="0" w:firstColumn="1" w:lastColumn="0" w:noHBand="0" w:noVBand="1"/>
      </w:tblPr>
      <w:tblGrid>
        <w:gridCol w:w="2300"/>
        <w:gridCol w:w="4074"/>
        <w:gridCol w:w="2693"/>
        <w:gridCol w:w="3353"/>
      </w:tblGrid>
      <w:tr w:rsidR="001146F7" w:rsidRPr="001146F7" w14:paraId="211E45F7" w14:textId="77777777" w:rsidTr="006A0C1B">
        <w:trPr>
          <w:trHeight w:val="255"/>
        </w:trPr>
        <w:tc>
          <w:tcPr>
            <w:tcW w:w="2300" w:type="dxa"/>
            <w:tcBorders>
              <w:top w:val="single" w:sz="4" w:space="0" w:color="95B3D7"/>
              <w:left w:val="single" w:sz="4" w:space="0" w:color="95B3D7"/>
              <w:bottom w:val="single" w:sz="4" w:space="0" w:color="95B3D7"/>
              <w:right w:val="nil"/>
            </w:tcBorders>
            <w:shd w:val="clear" w:color="4F81BD" w:fill="4F81BD"/>
            <w:noWrap/>
            <w:vAlign w:val="bottom"/>
            <w:hideMark/>
          </w:tcPr>
          <w:p w14:paraId="5D11F2D7" w14:textId="77777777" w:rsidR="001146F7" w:rsidRPr="001146F7" w:rsidRDefault="001146F7" w:rsidP="001146F7">
            <w:pPr>
              <w:spacing w:after="0" w:line="240" w:lineRule="auto"/>
              <w:jc w:val="center"/>
              <w:rPr>
                <w:rFonts w:ascii="Tahoma" w:eastAsia="Times New Roman" w:hAnsi="Tahoma" w:cs="Tahoma"/>
                <w:b/>
                <w:bCs/>
                <w:color w:val="FFFFFF"/>
                <w:sz w:val="20"/>
                <w:szCs w:val="20"/>
                <w:lang w:eastAsia="pl-PL"/>
              </w:rPr>
            </w:pPr>
            <w:r w:rsidRPr="001146F7">
              <w:rPr>
                <w:rFonts w:ascii="Tahoma" w:eastAsia="Times New Roman" w:hAnsi="Tahoma" w:cs="Tahoma"/>
                <w:b/>
                <w:bCs/>
                <w:color w:val="FFFFFF"/>
                <w:sz w:val="20"/>
                <w:szCs w:val="20"/>
                <w:lang w:eastAsia="pl-PL"/>
              </w:rPr>
              <w:t>Numer przedziału</w:t>
            </w:r>
          </w:p>
        </w:tc>
        <w:tc>
          <w:tcPr>
            <w:tcW w:w="4074" w:type="dxa"/>
            <w:tcBorders>
              <w:top w:val="single" w:sz="4" w:space="0" w:color="95B3D7"/>
              <w:left w:val="nil"/>
              <w:bottom w:val="single" w:sz="4" w:space="0" w:color="95B3D7"/>
              <w:right w:val="nil"/>
            </w:tcBorders>
            <w:shd w:val="clear" w:color="4F81BD" w:fill="4F81BD"/>
            <w:noWrap/>
            <w:vAlign w:val="bottom"/>
            <w:hideMark/>
          </w:tcPr>
          <w:p w14:paraId="149E0D2E" w14:textId="550BC094" w:rsidR="001146F7" w:rsidRPr="001146F7" w:rsidRDefault="001146F7" w:rsidP="001146F7">
            <w:pPr>
              <w:spacing w:after="0" w:line="240" w:lineRule="auto"/>
              <w:jc w:val="center"/>
              <w:rPr>
                <w:rFonts w:ascii="Tahoma" w:eastAsia="Times New Roman" w:hAnsi="Tahoma" w:cs="Tahoma"/>
                <w:b/>
                <w:bCs/>
                <w:color w:val="FFFFFF"/>
                <w:sz w:val="20"/>
                <w:szCs w:val="20"/>
                <w:lang w:eastAsia="pl-PL"/>
              </w:rPr>
            </w:pPr>
            <w:r w:rsidRPr="001146F7">
              <w:rPr>
                <w:rFonts w:ascii="Tahoma" w:eastAsia="Times New Roman" w:hAnsi="Tahoma" w:cs="Tahoma"/>
                <w:b/>
                <w:bCs/>
                <w:color w:val="FFFFFF"/>
                <w:sz w:val="20"/>
                <w:szCs w:val="20"/>
                <w:lang w:eastAsia="pl-PL"/>
              </w:rPr>
              <w:t>Przedziały wartości wskaźnika</w:t>
            </w:r>
            <w:r w:rsidR="006A0C1B">
              <w:rPr>
                <w:rFonts w:ascii="Tahoma" w:eastAsia="Times New Roman" w:hAnsi="Tahoma" w:cs="Tahoma"/>
                <w:b/>
                <w:bCs/>
                <w:color w:val="FFFFFF"/>
                <w:sz w:val="20"/>
                <w:szCs w:val="20"/>
                <w:lang w:eastAsia="pl-PL"/>
              </w:rPr>
              <w:t xml:space="preserve"> (mln zł)</w:t>
            </w:r>
          </w:p>
        </w:tc>
        <w:tc>
          <w:tcPr>
            <w:tcW w:w="2693" w:type="dxa"/>
            <w:tcBorders>
              <w:top w:val="single" w:sz="4" w:space="0" w:color="95B3D7"/>
              <w:left w:val="nil"/>
              <w:bottom w:val="single" w:sz="4" w:space="0" w:color="95B3D7"/>
              <w:right w:val="nil"/>
            </w:tcBorders>
            <w:shd w:val="clear" w:color="4F81BD" w:fill="4F81BD"/>
            <w:noWrap/>
            <w:vAlign w:val="bottom"/>
            <w:hideMark/>
          </w:tcPr>
          <w:p w14:paraId="0E6C66D8" w14:textId="77777777" w:rsidR="001146F7" w:rsidRPr="001146F7" w:rsidRDefault="001146F7" w:rsidP="001146F7">
            <w:pPr>
              <w:spacing w:after="0" w:line="240" w:lineRule="auto"/>
              <w:jc w:val="center"/>
              <w:rPr>
                <w:rFonts w:ascii="Tahoma" w:eastAsia="Times New Roman" w:hAnsi="Tahoma" w:cs="Tahoma"/>
                <w:b/>
                <w:bCs/>
                <w:color w:val="FFFFFF"/>
                <w:sz w:val="20"/>
                <w:szCs w:val="20"/>
                <w:lang w:eastAsia="pl-PL"/>
              </w:rPr>
            </w:pPr>
            <w:r w:rsidRPr="001146F7">
              <w:rPr>
                <w:rFonts w:ascii="Tahoma" w:eastAsia="Times New Roman" w:hAnsi="Tahoma" w:cs="Tahoma"/>
                <w:b/>
                <w:bCs/>
                <w:color w:val="FFFFFF"/>
                <w:sz w:val="20"/>
                <w:szCs w:val="20"/>
                <w:lang w:eastAsia="pl-PL"/>
              </w:rPr>
              <w:t>Ocena ryzyka przedziału</w:t>
            </w:r>
          </w:p>
        </w:tc>
        <w:tc>
          <w:tcPr>
            <w:tcW w:w="3353" w:type="dxa"/>
            <w:tcBorders>
              <w:top w:val="single" w:sz="4" w:space="0" w:color="95B3D7"/>
              <w:left w:val="nil"/>
              <w:bottom w:val="single" w:sz="4" w:space="0" w:color="95B3D7"/>
              <w:right w:val="single" w:sz="4" w:space="0" w:color="95B3D7"/>
            </w:tcBorders>
            <w:shd w:val="clear" w:color="4F81BD" w:fill="4F81BD"/>
            <w:noWrap/>
            <w:vAlign w:val="bottom"/>
            <w:hideMark/>
          </w:tcPr>
          <w:p w14:paraId="6FB22ABB" w14:textId="77777777" w:rsidR="001146F7" w:rsidRPr="001146F7" w:rsidRDefault="001146F7" w:rsidP="001146F7">
            <w:pPr>
              <w:spacing w:after="0" w:line="240" w:lineRule="auto"/>
              <w:jc w:val="center"/>
              <w:rPr>
                <w:rFonts w:ascii="Tahoma" w:eastAsia="Times New Roman" w:hAnsi="Tahoma" w:cs="Tahoma"/>
                <w:b/>
                <w:bCs/>
                <w:color w:val="FFFFFF"/>
                <w:sz w:val="20"/>
                <w:szCs w:val="20"/>
                <w:lang w:eastAsia="pl-PL"/>
              </w:rPr>
            </w:pPr>
            <w:r w:rsidRPr="001146F7">
              <w:rPr>
                <w:rFonts w:ascii="Tahoma" w:eastAsia="Times New Roman" w:hAnsi="Tahoma" w:cs="Tahoma"/>
                <w:b/>
                <w:bCs/>
                <w:color w:val="FFFFFF"/>
                <w:sz w:val="20"/>
                <w:szCs w:val="20"/>
                <w:lang w:eastAsia="pl-PL"/>
              </w:rPr>
              <w:t>Liczba instytucji w przedziale</w:t>
            </w:r>
          </w:p>
        </w:tc>
      </w:tr>
      <w:tr w:rsidR="004B1E13" w:rsidRPr="001146F7" w14:paraId="07D48BDD" w14:textId="77777777" w:rsidTr="006A0C1B">
        <w:trPr>
          <w:trHeight w:val="255"/>
        </w:trPr>
        <w:tc>
          <w:tcPr>
            <w:tcW w:w="2300" w:type="dxa"/>
            <w:tcBorders>
              <w:top w:val="single" w:sz="4" w:space="0" w:color="95B3D7"/>
              <w:left w:val="single" w:sz="4" w:space="0" w:color="95B3D7"/>
              <w:bottom w:val="single" w:sz="4" w:space="0" w:color="95B3D7"/>
              <w:right w:val="nil"/>
            </w:tcBorders>
            <w:shd w:val="clear" w:color="DCE6F1" w:fill="DCE6F1"/>
            <w:noWrap/>
            <w:vAlign w:val="bottom"/>
            <w:hideMark/>
          </w:tcPr>
          <w:p w14:paraId="216EDC4A" w14:textId="77777777" w:rsidR="004B1E13" w:rsidRPr="001146F7" w:rsidRDefault="004B1E13" w:rsidP="004B1E13">
            <w:pPr>
              <w:spacing w:after="0" w:line="240" w:lineRule="auto"/>
              <w:jc w:val="center"/>
              <w:rPr>
                <w:rFonts w:ascii="Tahoma" w:eastAsia="Times New Roman" w:hAnsi="Tahoma" w:cs="Tahoma"/>
                <w:color w:val="000000"/>
                <w:sz w:val="20"/>
                <w:szCs w:val="20"/>
                <w:lang w:eastAsia="pl-PL"/>
              </w:rPr>
            </w:pPr>
            <w:r w:rsidRPr="001146F7">
              <w:rPr>
                <w:rFonts w:ascii="Tahoma" w:eastAsia="Times New Roman" w:hAnsi="Tahoma" w:cs="Tahoma"/>
                <w:color w:val="000000"/>
                <w:sz w:val="20"/>
                <w:szCs w:val="20"/>
                <w:lang w:eastAsia="pl-PL"/>
              </w:rPr>
              <w:t>1</w:t>
            </w:r>
          </w:p>
        </w:tc>
        <w:tc>
          <w:tcPr>
            <w:tcW w:w="4074" w:type="dxa"/>
            <w:tcBorders>
              <w:top w:val="single" w:sz="4" w:space="0" w:color="95B3D7"/>
              <w:left w:val="nil"/>
              <w:bottom w:val="single" w:sz="4" w:space="0" w:color="95B3D7"/>
              <w:right w:val="nil"/>
            </w:tcBorders>
            <w:shd w:val="clear" w:color="DCE6F1" w:fill="DCE6F1"/>
            <w:noWrap/>
            <w:hideMark/>
          </w:tcPr>
          <w:p w14:paraId="3505C844" w14:textId="5EAB3F01" w:rsidR="004B1E13" w:rsidRPr="001146F7" w:rsidRDefault="004B1E13" w:rsidP="004B1E13">
            <w:pPr>
              <w:spacing w:after="0" w:line="240" w:lineRule="auto"/>
              <w:jc w:val="center"/>
              <w:rPr>
                <w:rFonts w:ascii="Tahoma" w:eastAsia="Times New Roman" w:hAnsi="Tahoma" w:cs="Tahoma"/>
                <w:color w:val="000000"/>
                <w:sz w:val="20"/>
                <w:szCs w:val="20"/>
                <w:lang w:eastAsia="pl-PL"/>
              </w:rPr>
            </w:pPr>
            <w:r w:rsidRPr="00580CFD">
              <w:t xml:space="preserve"> — 66 </w:t>
            </w:r>
          </w:p>
        </w:tc>
        <w:tc>
          <w:tcPr>
            <w:tcW w:w="2693" w:type="dxa"/>
            <w:tcBorders>
              <w:top w:val="single" w:sz="4" w:space="0" w:color="95B3D7"/>
              <w:left w:val="nil"/>
              <w:bottom w:val="single" w:sz="4" w:space="0" w:color="95B3D7"/>
              <w:right w:val="nil"/>
            </w:tcBorders>
            <w:shd w:val="clear" w:color="DCE6F1" w:fill="DCE6F1"/>
            <w:noWrap/>
            <w:hideMark/>
          </w:tcPr>
          <w:p w14:paraId="39E0BA2F" w14:textId="71C29BCC" w:rsidR="004B1E13" w:rsidRPr="001146F7" w:rsidRDefault="004B1E13" w:rsidP="004B1E13">
            <w:pPr>
              <w:spacing w:after="0" w:line="240" w:lineRule="auto"/>
              <w:jc w:val="center"/>
              <w:rPr>
                <w:rFonts w:ascii="Tahoma" w:eastAsia="Times New Roman" w:hAnsi="Tahoma" w:cs="Tahoma"/>
                <w:color w:val="000000"/>
                <w:sz w:val="20"/>
                <w:szCs w:val="20"/>
                <w:lang w:eastAsia="pl-PL"/>
              </w:rPr>
            </w:pPr>
            <w:r w:rsidRPr="00580CFD">
              <w:t>1000</w:t>
            </w:r>
          </w:p>
        </w:tc>
        <w:tc>
          <w:tcPr>
            <w:tcW w:w="3353" w:type="dxa"/>
            <w:tcBorders>
              <w:top w:val="single" w:sz="4" w:space="0" w:color="95B3D7"/>
              <w:left w:val="nil"/>
              <w:bottom w:val="single" w:sz="4" w:space="0" w:color="95B3D7"/>
              <w:right w:val="single" w:sz="4" w:space="0" w:color="95B3D7"/>
            </w:tcBorders>
            <w:shd w:val="clear" w:color="DCE6F1" w:fill="DCE6F1"/>
            <w:noWrap/>
            <w:hideMark/>
          </w:tcPr>
          <w:p w14:paraId="7D5382F9" w14:textId="142153D5" w:rsidR="004B1E13" w:rsidRPr="001146F7" w:rsidRDefault="004B1E13" w:rsidP="004B1E13">
            <w:pPr>
              <w:spacing w:after="0" w:line="240" w:lineRule="auto"/>
              <w:jc w:val="center"/>
              <w:rPr>
                <w:rFonts w:ascii="Tahoma" w:eastAsia="Times New Roman" w:hAnsi="Tahoma" w:cs="Tahoma"/>
                <w:color w:val="000000"/>
                <w:sz w:val="20"/>
                <w:szCs w:val="20"/>
                <w:lang w:eastAsia="pl-PL"/>
              </w:rPr>
            </w:pPr>
            <w:r w:rsidRPr="00580CFD">
              <w:t>4</w:t>
            </w:r>
          </w:p>
        </w:tc>
      </w:tr>
      <w:tr w:rsidR="004B1E13" w:rsidRPr="001146F7" w14:paraId="69E355BE" w14:textId="77777777" w:rsidTr="006A0C1B">
        <w:trPr>
          <w:trHeight w:val="255"/>
        </w:trPr>
        <w:tc>
          <w:tcPr>
            <w:tcW w:w="2300" w:type="dxa"/>
            <w:tcBorders>
              <w:top w:val="single" w:sz="4" w:space="0" w:color="95B3D7"/>
              <w:left w:val="single" w:sz="4" w:space="0" w:color="95B3D7"/>
              <w:bottom w:val="single" w:sz="4" w:space="0" w:color="95B3D7"/>
              <w:right w:val="nil"/>
            </w:tcBorders>
            <w:noWrap/>
            <w:vAlign w:val="bottom"/>
            <w:hideMark/>
          </w:tcPr>
          <w:p w14:paraId="00064514" w14:textId="77777777" w:rsidR="004B1E13" w:rsidRPr="001146F7" w:rsidRDefault="004B1E13" w:rsidP="004B1E13">
            <w:pPr>
              <w:spacing w:after="0" w:line="240" w:lineRule="auto"/>
              <w:jc w:val="center"/>
              <w:rPr>
                <w:rFonts w:ascii="Tahoma" w:eastAsia="Times New Roman" w:hAnsi="Tahoma" w:cs="Tahoma"/>
                <w:color w:val="000000"/>
                <w:sz w:val="20"/>
                <w:szCs w:val="20"/>
                <w:lang w:eastAsia="pl-PL"/>
              </w:rPr>
            </w:pPr>
            <w:r w:rsidRPr="001146F7">
              <w:rPr>
                <w:rFonts w:ascii="Tahoma" w:eastAsia="Times New Roman" w:hAnsi="Tahoma" w:cs="Tahoma"/>
                <w:color w:val="000000"/>
                <w:sz w:val="20"/>
                <w:szCs w:val="20"/>
                <w:lang w:eastAsia="pl-PL"/>
              </w:rPr>
              <w:t>2</w:t>
            </w:r>
          </w:p>
        </w:tc>
        <w:tc>
          <w:tcPr>
            <w:tcW w:w="4074" w:type="dxa"/>
            <w:tcBorders>
              <w:top w:val="single" w:sz="4" w:space="0" w:color="95B3D7"/>
              <w:left w:val="nil"/>
              <w:bottom w:val="single" w:sz="4" w:space="0" w:color="95B3D7"/>
              <w:right w:val="nil"/>
            </w:tcBorders>
            <w:noWrap/>
            <w:hideMark/>
          </w:tcPr>
          <w:p w14:paraId="0B94AEB1" w14:textId="201E2F8E" w:rsidR="004B1E13" w:rsidRPr="001146F7" w:rsidRDefault="004B1E13" w:rsidP="004B1E13">
            <w:pPr>
              <w:spacing w:after="0" w:line="240" w:lineRule="auto"/>
              <w:jc w:val="center"/>
              <w:rPr>
                <w:rFonts w:ascii="Tahoma" w:eastAsia="Times New Roman" w:hAnsi="Tahoma" w:cs="Tahoma"/>
                <w:color w:val="000000"/>
                <w:sz w:val="20"/>
                <w:szCs w:val="20"/>
                <w:lang w:eastAsia="pl-PL"/>
              </w:rPr>
            </w:pPr>
            <w:r w:rsidRPr="00580CFD">
              <w:t>66 — 616 </w:t>
            </w:r>
          </w:p>
        </w:tc>
        <w:tc>
          <w:tcPr>
            <w:tcW w:w="2693" w:type="dxa"/>
            <w:tcBorders>
              <w:top w:val="single" w:sz="4" w:space="0" w:color="95B3D7"/>
              <w:left w:val="nil"/>
              <w:bottom w:val="single" w:sz="4" w:space="0" w:color="95B3D7"/>
              <w:right w:val="nil"/>
            </w:tcBorders>
            <w:noWrap/>
            <w:hideMark/>
          </w:tcPr>
          <w:p w14:paraId="61FE6609" w14:textId="0552EF64" w:rsidR="004B1E13" w:rsidRPr="001146F7" w:rsidRDefault="004B1E13" w:rsidP="004B1E13">
            <w:pPr>
              <w:spacing w:after="0" w:line="240" w:lineRule="auto"/>
              <w:jc w:val="center"/>
              <w:rPr>
                <w:rFonts w:ascii="Tahoma" w:eastAsia="Times New Roman" w:hAnsi="Tahoma" w:cs="Tahoma"/>
                <w:color w:val="000000"/>
                <w:sz w:val="20"/>
                <w:szCs w:val="20"/>
                <w:lang w:eastAsia="pl-PL"/>
              </w:rPr>
            </w:pPr>
            <w:r w:rsidRPr="00580CFD">
              <w:t>857,286</w:t>
            </w:r>
          </w:p>
        </w:tc>
        <w:tc>
          <w:tcPr>
            <w:tcW w:w="3353" w:type="dxa"/>
            <w:tcBorders>
              <w:top w:val="single" w:sz="4" w:space="0" w:color="95B3D7"/>
              <w:left w:val="nil"/>
              <w:bottom w:val="single" w:sz="4" w:space="0" w:color="95B3D7"/>
              <w:right w:val="single" w:sz="4" w:space="0" w:color="95B3D7"/>
            </w:tcBorders>
            <w:noWrap/>
            <w:hideMark/>
          </w:tcPr>
          <w:p w14:paraId="779D556E" w14:textId="49AB0BAC" w:rsidR="004B1E13" w:rsidRPr="001146F7" w:rsidRDefault="004B1E13" w:rsidP="004B1E13">
            <w:pPr>
              <w:spacing w:after="0" w:line="240" w:lineRule="auto"/>
              <w:jc w:val="center"/>
              <w:rPr>
                <w:rFonts w:ascii="Tahoma" w:eastAsia="Times New Roman" w:hAnsi="Tahoma" w:cs="Tahoma"/>
                <w:color w:val="000000"/>
                <w:sz w:val="20"/>
                <w:szCs w:val="20"/>
                <w:lang w:eastAsia="pl-PL"/>
              </w:rPr>
            </w:pPr>
            <w:r w:rsidRPr="00580CFD">
              <w:t>3</w:t>
            </w:r>
          </w:p>
        </w:tc>
      </w:tr>
      <w:tr w:rsidR="004B1E13" w:rsidRPr="001146F7" w14:paraId="5A442D26" w14:textId="77777777" w:rsidTr="006A0C1B">
        <w:trPr>
          <w:trHeight w:val="255"/>
        </w:trPr>
        <w:tc>
          <w:tcPr>
            <w:tcW w:w="2300" w:type="dxa"/>
            <w:tcBorders>
              <w:top w:val="single" w:sz="4" w:space="0" w:color="95B3D7"/>
              <w:left w:val="single" w:sz="4" w:space="0" w:color="95B3D7"/>
              <w:bottom w:val="single" w:sz="4" w:space="0" w:color="95B3D7"/>
              <w:right w:val="nil"/>
            </w:tcBorders>
            <w:shd w:val="clear" w:color="DCE6F1" w:fill="DCE6F1"/>
            <w:noWrap/>
            <w:vAlign w:val="bottom"/>
            <w:hideMark/>
          </w:tcPr>
          <w:p w14:paraId="515D52BB" w14:textId="77777777" w:rsidR="004B1E13" w:rsidRPr="001146F7" w:rsidRDefault="004B1E13" w:rsidP="004B1E13">
            <w:pPr>
              <w:spacing w:after="0" w:line="240" w:lineRule="auto"/>
              <w:jc w:val="center"/>
              <w:rPr>
                <w:rFonts w:ascii="Tahoma" w:eastAsia="Times New Roman" w:hAnsi="Tahoma" w:cs="Tahoma"/>
                <w:color w:val="000000"/>
                <w:sz w:val="20"/>
                <w:szCs w:val="20"/>
                <w:lang w:eastAsia="pl-PL"/>
              </w:rPr>
            </w:pPr>
            <w:r w:rsidRPr="001146F7">
              <w:rPr>
                <w:rFonts w:ascii="Tahoma" w:eastAsia="Times New Roman" w:hAnsi="Tahoma" w:cs="Tahoma"/>
                <w:color w:val="000000"/>
                <w:sz w:val="20"/>
                <w:szCs w:val="20"/>
                <w:lang w:eastAsia="pl-PL"/>
              </w:rPr>
              <w:t>3</w:t>
            </w:r>
          </w:p>
        </w:tc>
        <w:tc>
          <w:tcPr>
            <w:tcW w:w="4074" w:type="dxa"/>
            <w:tcBorders>
              <w:top w:val="single" w:sz="4" w:space="0" w:color="95B3D7"/>
              <w:left w:val="nil"/>
              <w:bottom w:val="single" w:sz="4" w:space="0" w:color="95B3D7"/>
              <w:right w:val="nil"/>
            </w:tcBorders>
            <w:shd w:val="clear" w:color="DCE6F1" w:fill="DCE6F1"/>
            <w:noWrap/>
            <w:hideMark/>
          </w:tcPr>
          <w:p w14:paraId="043BC1AE" w14:textId="101674F1" w:rsidR="004B1E13" w:rsidRPr="001146F7" w:rsidRDefault="004B1E13" w:rsidP="004B1E13">
            <w:pPr>
              <w:spacing w:after="0" w:line="240" w:lineRule="auto"/>
              <w:jc w:val="center"/>
              <w:rPr>
                <w:rFonts w:ascii="Tahoma" w:eastAsia="Times New Roman" w:hAnsi="Tahoma" w:cs="Tahoma"/>
                <w:color w:val="000000"/>
                <w:sz w:val="20"/>
                <w:szCs w:val="20"/>
                <w:lang w:eastAsia="pl-PL"/>
              </w:rPr>
            </w:pPr>
            <w:r w:rsidRPr="00580CFD">
              <w:t>616 — 3 03</w:t>
            </w:r>
            <w:r w:rsidR="006A0C1B">
              <w:t>9</w:t>
            </w:r>
            <w:r w:rsidRPr="00580CFD">
              <w:t> </w:t>
            </w:r>
          </w:p>
        </w:tc>
        <w:tc>
          <w:tcPr>
            <w:tcW w:w="2693" w:type="dxa"/>
            <w:tcBorders>
              <w:top w:val="single" w:sz="4" w:space="0" w:color="95B3D7"/>
              <w:left w:val="nil"/>
              <w:bottom w:val="single" w:sz="4" w:space="0" w:color="95B3D7"/>
              <w:right w:val="nil"/>
            </w:tcBorders>
            <w:shd w:val="clear" w:color="DCE6F1" w:fill="DCE6F1"/>
            <w:noWrap/>
            <w:hideMark/>
          </w:tcPr>
          <w:p w14:paraId="0381D95A" w14:textId="1DCDFB8F" w:rsidR="004B1E13" w:rsidRPr="001146F7" w:rsidRDefault="004B1E13" w:rsidP="004B1E13">
            <w:pPr>
              <w:spacing w:after="0" w:line="240" w:lineRule="auto"/>
              <w:jc w:val="center"/>
              <w:rPr>
                <w:rFonts w:ascii="Tahoma" w:eastAsia="Times New Roman" w:hAnsi="Tahoma" w:cs="Tahoma"/>
                <w:color w:val="000000"/>
                <w:sz w:val="20"/>
                <w:szCs w:val="20"/>
                <w:lang w:eastAsia="pl-PL"/>
              </w:rPr>
            </w:pPr>
            <w:r w:rsidRPr="00580CFD">
              <w:t>714,571</w:t>
            </w:r>
          </w:p>
        </w:tc>
        <w:tc>
          <w:tcPr>
            <w:tcW w:w="3353" w:type="dxa"/>
            <w:tcBorders>
              <w:top w:val="single" w:sz="4" w:space="0" w:color="95B3D7"/>
              <w:left w:val="nil"/>
              <w:bottom w:val="single" w:sz="4" w:space="0" w:color="95B3D7"/>
              <w:right w:val="single" w:sz="4" w:space="0" w:color="95B3D7"/>
            </w:tcBorders>
            <w:shd w:val="clear" w:color="DCE6F1" w:fill="DCE6F1"/>
            <w:noWrap/>
            <w:hideMark/>
          </w:tcPr>
          <w:p w14:paraId="277BFA75" w14:textId="49B965FF" w:rsidR="004B1E13" w:rsidRPr="001146F7" w:rsidRDefault="004B1E13" w:rsidP="004B1E13">
            <w:pPr>
              <w:spacing w:after="0" w:line="240" w:lineRule="auto"/>
              <w:jc w:val="center"/>
              <w:rPr>
                <w:rFonts w:ascii="Tahoma" w:eastAsia="Times New Roman" w:hAnsi="Tahoma" w:cs="Tahoma"/>
                <w:color w:val="000000"/>
                <w:sz w:val="20"/>
                <w:szCs w:val="20"/>
                <w:lang w:eastAsia="pl-PL"/>
              </w:rPr>
            </w:pPr>
            <w:r w:rsidRPr="00580CFD">
              <w:t>3</w:t>
            </w:r>
          </w:p>
        </w:tc>
      </w:tr>
      <w:tr w:rsidR="004B1E13" w:rsidRPr="001146F7" w14:paraId="4A67F374" w14:textId="77777777" w:rsidTr="006A0C1B">
        <w:trPr>
          <w:trHeight w:val="255"/>
        </w:trPr>
        <w:tc>
          <w:tcPr>
            <w:tcW w:w="2300" w:type="dxa"/>
            <w:tcBorders>
              <w:top w:val="single" w:sz="4" w:space="0" w:color="95B3D7"/>
              <w:left w:val="single" w:sz="4" w:space="0" w:color="95B3D7"/>
              <w:bottom w:val="single" w:sz="4" w:space="0" w:color="95B3D7"/>
              <w:right w:val="nil"/>
            </w:tcBorders>
            <w:noWrap/>
            <w:vAlign w:val="bottom"/>
            <w:hideMark/>
          </w:tcPr>
          <w:p w14:paraId="0484F20F" w14:textId="77777777" w:rsidR="004B1E13" w:rsidRPr="001146F7" w:rsidRDefault="004B1E13" w:rsidP="004B1E13">
            <w:pPr>
              <w:spacing w:after="0" w:line="240" w:lineRule="auto"/>
              <w:jc w:val="center"/>
              <w:rPr>
                <w:rFonts w:ascii="Tahoma" w:eastAsia="Times New Roman" w:hAnsi="Tahoma" w:cs="Tahoma"/>
                <w:color w:val="000000"/>
                <w:sz w:val="20"/>
                <w:szCs w:val="20"/>
                <w:lang w:eastAsia="pl-PL"/>
              </w:rPr>
            </w:pPr>
            <w:r w:rsidRPr="001146F7">
              <w:rPr>
                <w:rFonts w:ascii="Tahoma" w:eastAsia="Times New Roman" w:hAnsi="Tahoma" w:cs="Tahoma"/>
                <w:color w:val="000000"/>
                <w:sz w:val="20"/>
                <w:szCs w:val="20"/>
                <w:lang w:eastAsia="pl-PL"/>
              </w:rPr>
              <w:t>4</w:t>
            </w:r>
          </w:p>
        </w:tc>
        <w:tc>
          <w:tcPr>
            <w:tcW w:w="4074" w:type="dxa"/>
            <w:tcBorders>
              <w:top w:val="single" w:sz="4" w:space="0" w:color="95B3D7"/>
              <w:left w:val="nil"/>
              <w:bottom w:val="single" w:sz="4" w:space="0" w:color="95B3D7"/>
              <w:right w:val="nil"/>
            </w:tcBorders>
            <w:noWrap/>
            <w:hideMark/>
          </w:tcPr>
          <w:p w14:paraId="7B46E876" w14:textId="35DF9AC4" w:rsidR="004B1E13" w:rsidRPr="001146F7" w:rsidRDefault="004B1E13" w:rsidP="004B1E13">
            <w:pPr>
              <w:spacing w:after="0" w:line="240" w:lineRule="auto"/>
              <w:jc w:val="center"/>
              <w:rPr>
                <w:rFonts w:ascii="Tahoma" w:eastAsia="Times New Roman" w:hAnsi="Tahoma" w:cs="Tahoma"/>
                <w:color w:val="000000"/>
                <w:sz w:val="20"/>
                <w:szCs w:val="20"/>
                <w:lang w:eastAsia="pl-PL"/>
              </w:rPr>
            </w:pPr>
            <w:r w:rsidRPr="00580CFD">
              <w:t>3 03</w:t>
            </w:r>
            <w:r w:rsidR="006A0C1B">
              <w:t>9</w:t>
            </w:r>
            <w:r w:rsidRPr="00580CFD">
              <w:t> — 6 81</w:t>
            </w:r>
            <w:r w:rsidR="006A0C1B">
              <w:t>8</w:t>
            </w:r>
            <w:r w:rsidRPr="00580CFD">
              <w:t> </w:t>
            </w:r>
          </w:p>
        </w:tc>
        <w:tc>
          <w:tcPr>
            <w:tcW w:w="2693" w:type="dxa"/>
            <w:tcBorders>
              <w:top w:val="single" w:sz="4" w:space="0" w:color="95B3D7"/>
              <w:left w:val="nil"/>
              <w:bottom w:val="single" w:sz="4" w:space="0" w:color="95B3D7"/>
              <w:right w:val="nil"/>
            </w:tcBorders>
            <w:noWrap/>
            <w:hideMark/>
          </w:tcPr>
          <w:p w14:paraId="6A50EDDA" w14:textId="1C4705B4" w:rsidR="004B1E13" w:rsidRPr="001146F7" w:rsidRDefault="004B1E13" w:rsidP="004B1E13">
            <w:pPr>
              <w:spacing w:after="0" w:line="240" w:lineRule="auto"/>
              <w:jc w:val="center"/>
              <w:rPr>
                <w:rFonts w:ascii="Tahoma" w:eastAsia="Times New Roman" w:hAnsi="Tahoma" w:cs="Tahoma"/>
                <w:color w:val="000000"/>
                <w:sz w:val="20"/>
                <w:szCs w:val="20"/>
                <w:lang w:eastAsia="pl-PL"/>
              </w:rPr>
            </w:pPr>
            <w:r w:rsidRPr="00580CFD">
              <w:t>571,857</w:t>
            </w:r>
          </w:p>
        </w:tc>
        <w:tc>
          <w:tcPr>
            <w:tcW w:w="3353" w:type="dxa"/>
            <w:tcBorders>
              <w:top w:val="single" w:sz="4" w:space="0" w:color="95B3D7"/>
              <w:left w:val="nil"/>
              <w:bottom w:val="single" w:sz="4" w:space="0" w:color="95B3D7"/>
              <w:right w:val="single" w:sz="4" w:space="0" w:color="95B3D7"/>
            </w:tcBorders>
            <w:noWrap/>
            <w:hideMark/>
          </w:tcPr>
          <w:p w14:paraId="3DC1AF1E" w14:textId="3E1CCB13" w:rsidR="004B1E13" w:rsidRPr="001146F7" w:rsidRDefault="004B1E13" w:rsidP="004B1E13">
            <w:pPr>
              <w:spacing w:after="0" w:line="240" w:lineRule="auto"/>
              <w:jc w:val="center"/>
              <w:rPr>
                <w:rFonts w:ascii="Tahoma" w:eastAsia="Times New Roman" w:hAnsi="Tahoma" w:cs="Tahoma"/>
                <w:color w:val="000000"/>
                <w:sz w:val="20"/>
                <w:szCs w:val="20"/>
                <w:lang w:eastAsia="pl-PL"/>
              </w:rPr>
            </w:pPr>
            <w:r w:rsidRPr="00580CFD">
              <w:t>3</w:t>
            </w:r>
          </w:p>
        </w:tc>
      </w:tr>
      <w:tr w:rsidR="004B1E13" w:rsidRPr="001146F7" w14:paraId="694DCA49" w14:textId="77777777" w:rsidTr="006A0C1B">
        <w:trPr>
          <w:trHeight w:val="255"/>
        </w:trPr>
        <w:tc>
          <w:tcPr>
            <w:tcW w:w="2300" w:type="dxa"/>
            <w:tcBorders>
              <w:top w:val="single" w:sz="4" w:space="0" w:color="95B3D7"/>
              <w:left w:val="single" w:sz="4" w:space="0" w:color="95B3D7"/>
              <w:bottom w:val="single" w:sz="4" w:space="0" w:color="95B3D7"/>
              <w:right w:val="nil"/>
            </w:tcBorders>
            <w:shd w:val="clear" w:color="DCE6F1" w:fill="DCE6F1"/>
            <w:noWrap/>
            <w:vAlign w:val="bottom"/>
            <w:hideMark/>
          </w:tcPr>
          <w:p w14:paraId="10F39604" w14:textId="77777777" w:rsidR="004B1E13" w:rsidRPr="001146F7" w:rsidRDefault="004B1E13" w:rsidP="004B1E13">
            <w:pPr>
              <w:spacing w:after="0" w:line="240" w:lineRule="auto"/>
              <w:jc w:val="center"/>
              <w:rPr>
                <w:rFonts w:ascii="Tahoma" w:eastAsia="Times New Roman" w:hAnsi="Tahoma" w:cs="Tahoma"/>
                <w:color w:val="000000"/>
                <w:sz w:val="20"/>
                <w:szCs w:val="20"/>
                <w:lang w:eastAsia="pl-PL"/>
              </w:rPr>
            </w:pPr>
            <w:r w:rsidRPr="001146F7">
              <w:rPr>
                <w:rFonts w:ascii="Tahoma" w:eastAsia="Times New Roman" w:hAnsi="Tahoma" w:cs="Tahoma"/>
                <w:color w:val="000000"/>
                <w:sz w:val="20"/>
                <w:szCs w:val="20"/>
                <w:lang w:eastAsia="pl-PL"/>
              </w:rPr>
              <w:t>5</w:t>
            </w:r>
          </w:p>
        </w:tc>
        <w:tc>
          <w:tcPr>
            <w:tcW w:w="4074" w:type="dxa"/>
            <w:tcBorders>
              <w:top w:val="single" w:sz="4" w:space="0" w:color="95B3D7"/>
              <w:left w:val="nil"/>
              <w:bottom w:val="single" w:sz="4" w:space="0" w:color="95B3D7"/>
              <w:right w:val="nil"/>
            </w:tcBorders>
            <w:shd w:val="clear" w:color="DCE6F1" w:fill="DCE6F1"/>
            <w:noWrap/>
            <w:hideMark/>
          </w:tcPr>
          <w:p w14:paraId="6BCEC801" w14:textId="03EF4440" w:rsidR="004B1E13" w:rsidRPr="001146F7" w:rsidRDefault="004B1E13" w:rsidP="004B1E13">
            <w:pPr>
              <w:spacing w:after="0" w:line="240" w:lineRule="auto"/>
              <w:jc w:val="center"/>
              <w:rPr>
                <w:rFonts w:ascii="Tahoma" w:eastAsia="Times New Roman" w:hAnsi="Tahoma" w:cs="Tahoma"/>
                <w:color w:val="000000"/>
                <w:sz w:val="20"/>
                <w:szCs w:val="20"/>
                <w:lang w:eastAsia="pl-PL"/>
              </w:rPr>
            </w:pPr>
            <w:r w:rsidRPr="00580CFD">
              <w:t>6 81</w:t>
            </w:r>
            <w:r w:rsidR="006A0C1B">
              <w:t>8</w:t>
            </w:r>
            <w:r w:rsidRPr="00580CFD">
              <w:t> — 14 260 </w:t>
            </w:r>
          </w:p>
        </w:tc>
        <w:tc>
          <w:tcPr>
            <w:tcW w:w="2693" w:type="dxa"/>
            <w:tcBorders>
              <w:top w:val="single" w:sz="4" w:space="0" w:color="95B3D7"/>
              <w:left w:val="nil"/>
              <w:bottom w:val="single" w:sz="4" w:space="0" w:color="95B3D7"/>
              <w:right w:val="nil"/>
            </w:tcBorders>
            <w:shd w:val="clear" w:color="DCE6F1" w:fill="DCE6F1"/>
            <w:noWrap/>
            <w:hideMark/>
          </w:tcPr>
          <w:p w14:paraId="76DBC32C" w14:textId="58ED79E0" w:rsidR="004B1E13" w:rsidRPr="001146F7" w:rsidRDefault="004B1E13" w:rsidP="004B1E13">
            <w:pPr>
              <w:spacing w:after="0" w:line="240" w:lineRule="auto"/>
              <w:jc w:val="center"/>
              <w:rPr>
                <w:rFonts w:ascii="Tahoma" w:eastAsia="Times New Roman" w:hAnsi="Tahoma" w:cs="Tahoma"/>
                <w:color w:val="000000"/>
                <w:sz w:val="20"/>
                <w:szCs w:val="20"/>
                <w:lang w:eastAsia="pl-PL"/>
              </w:rPr>
            </w:pPr>
            <w:r w:rsidRPr="00580CFD">
              <w:t>429,143</w:t>
            </w:r>
          </w:p>
        </w:tc>
        <w:tc>
          <w:tcPr>
            <w:tcW w:w="3353" w:type="dxa"/>
            <w:tcBorders>
              <w:top w:val="single" w:sz="4" w:space="0" w:color="95B3D7"/>
              <w:left w:val="nil"/>
              <w:bottom w:val="single" w:sz="4" w:space="0" w:color="95B3D7"/>
              <w:right w:val="single" w:sz="4" w:space="0" w:color="95B3D7"/>
            </w:tcBorders>
            <w:shd w:val="clear" w:color="DCE6F1" w:fill="DCE6F1"/>
            <w:noWrap/>
            <w:hideMark/>
          </w:tcPr>
          <w:p w14:paraId="67DB7614" w14:textId="4D8E0DC5" w:rsidR="004B1E13" w:rsidRPr="001146F7" w:rsidRDefault="004B1E13" w:rsidP="004B1E13">
            <w:pPr>
              <w:spacing w:after="0" w:line="240" w:lineRule="auto"/>
              <w:jc w:val="center"/>
              <w:rPr>
                <w:rFonts w:ascii="Tahoma" w:eastAsia="Times New Roman" w:hAnsi="Tahoma" w:cs="Tahoma"/>
                <w:color w:val="000000"/>
                <w:sz w:val="20"/>
                <w:szCs w:val="20"/>
                <w:lang w:eastAsia="pl-PL"/>
              </w:rPr>
            </w:pPr>
            <w:r w:rsidRPr="00580CFD">
              <w:t>3</w:t>
            </w:r>
          </w:p>
        </w:tc>
      </w:tr>
      <w:tr w:rsidR="004B1E13" w:rsidRPr="001146F7" w14:paraId="2263350D" w14:textId="77777777" w:rsidTr="006A0C1B">
        <w:trPr>
          <w:trHeight w:val="255"/>
        </w:trPr>
        <w:tc>
          <w:tcPr>
            <w:tcW w:w="2300" w:type="dxa"/>
            <w:tcBorders>
              <w:top w:val="single" w:sz="4" w:space="0" w:color="95B3D7"/>
              <w:left w:val="single" w:sz="4" w:space="0" w:color="95B3D7"/>
              <w:bottom w:val="single" w:sz="4" w:space="0" w:color="95B3D7"/>
              <w:right w:val="nil"/>
            </w:tcBorders>
            <w:noWrap/>
            <w:vAlign w:val="bottom"/>
            <w:hideMark/>
          </w:tcPr>
          <w:p w14:paraId="6856375F" w14:textId="77777777" w:rsidR="004B1E13" w:rsidRPr="001146F7" w:rsidRDefault="004B1E13" w:rsidP="004B1E13">
            <w:pPr>
              <w:spacing w:after="0" w:line="240" w:lineRule="auto"/>
              <w:jc w:val="center"/>
              <w:rPr>
                <w:rFonts w:ascii="Tahoma" w:eastAsia="Times New Roman" w:hAnsi="Tahoma" w:cs="Tahoma"/>
                <w:color w:val="000000"/>
                <w:sz w:val="20"/>
                <w:szCs w:val="20"/>
                <w:lang w:eastAsia="pl-PL"/>
              </w:rPr>
            </w:pPr>
            <w:r w:rsidRPr="001146F7">
              <w:rPr>
                <w:rFonts w:ascii="Tahoma" w:eastAsia="Times New Roman" w:hAnsi="Tahoma" w:cs="Tahoma"/>
                <w:color w:val="000000"/>
                <w:sz w:val="20"/>
                <w:szCs w:val="20"/>
                <w:lang w:eastAsia="pl-PL"/>
              </w:rPr>
              <w:t>6</w:t>
            </w:r>
          </w:p>
        </w:tc>
        <w:tc>
          <w:tcPr>
            <w:tcW w:w="4074" w:type="dxa"/>
            <w:tcBorders>
              <w:top w:val="single" w:sz="4" w:space="0" w:color="95B3D7"/>
              <w:left w:val="nil"/>
              <w:bottom w:val="single" w:sz="4" w:space="0" w:color="95B3D7"/>
              <w:right w:val="nil"/>
            </w:tcBorders>
            <w:noWrap/>
            <w:hideMark/>
          </w:tcPr>
          <w:p w14:paraId="4E972415" w14:textId="783421AE" w:rsidR="004B1E13" w:rsidRPr="001146F7" w:rsidRDefault="004B1E13" w:rsidP="004B1E13">
            <w:pPr>
              <w:spacing w:after="0" w:line="240" w:lineRule="auto"/>
              <w:jc w:val="center"/>
              <w:rPr>
                <w:rFonts w:ascii="Tahoma" w:eastAsia="Times New Roman" w:hAnsi="Tahoma" w:cs="Tahoma"/>
                <w:color w:val="000000"/>
                <w:sz w:val="20"/>
                <w:szCs w:val="20"/>
                <w:lang w:eastAsia="pl-PL"/>
              </w:rPr>
            </w:pPr>
            <w:r w:rsidRPr="00580CFD">
              <w:t>14 260 — 24 60</w:t>
            </w:r>
            <w:r w:rsidR="006A0C1B">
              <w:t>9</w:t>
            </w:r>
            <w:r w:rsidRPr="00580CFD">
              <w:t> </w:t>
            </w:r>
          </w:p>
        </w:tc>
        <w:tc>
          <w:tcPr>
            <w:tcW w:w="2693" w:type="dxa"/>
            <w:tcBorders>
              <w:top w:val="single" w:sz="4" w:space="0" w:color="95B3D7"/>
              <w:left w:val="nil"/>
              <w:bottom w:val="single" w:sz="4" w:space="0" w:color="95B3D7"/>
              <w:right w:val="nil"/>
            </w:tcBorders>
            <w:noWrap/>
            <w:hideMark/>
          </w:tcPr>
          <w:p w14:paraId="17501B0A" w14:textId="0B9CE56A" w:rsidR="004B1E13" w:rsidRPr="001146F7" w:rsidRDefault="004B1E13" w:rsidP="004B1E13">
            <w:pPr>
              <w:spacing w:after="0" w:line="240" w:lineRule="auto"/>
              <w:jc w:val="center"/>
              <w:rPr>
                <w:rFonts w:ascii="Tahoma" w:eastAsia="Times New Roman" w:hAnsi="Tahoma" w:cs="Tahoma"/>
                <w:color w:val="000000"/>
                <w:sz w:val="20"/>
                <w:szCs w:val="20"/>
                <w:lang w:eastAsia="pl-PL"/>
              </w:rPr>
            </w:pPr>
            <w:r w:rsidRPr="00580CFD">
              <w:t>286,429</w:t>
            </w:r>
          </w:p>
        </w:tc>
        <w:tc>
          <w:tcPr>
            <w:tcW w:w="3353" w:type="dxa"/>
            <w:tcBorders>
              <w:top w:val="single" w:sz="4" w:space="0" w:color="95B3D7"/>
              <w:left w:val="nil"/>
              <w:bottom w:val="single" w:sz="4" w:space="0" w:color="95B3D7"/>
              <w:right w:val="single" w:sz="4" w:space="0" w:color="95B3D7"/>
            </w:tcBorders>
            <w:noWrap/>
            <w:hideMark/>
          </w:tcPr>
          <w:p w14:paraId="772A0733" w14:textId="00D104C6" w:rsidR="004B1E13" w:rsidRPr="001146F7" w:rsidRDefault="004B1E13" w:rsidP="004B1E13">
            <w:pPr>
              <w:spacing w:after="0" w:line="240" w:lineRule="auto"/>
              <w:jc w:val="center"/>
              <w:rPr>
                <w:rFonts w:ascii="Tahoma" w:eastAsia="Times New Roman" w:hAnsi="Tahoma" w:cs="Tahoma"/>
                <w:color w:val="000000"/>
                <w:sz w:val="20"/>
                <w:szCs w:val="20"/>
                <w:lang w:eastAsia="pl-PL"/>
              </w:rPr>
            </w:pPr>
            <w:r w:rsidRPr="00580CFD">
              <w:t>3</w:t>
            </w:r>
          </w:p>
        </w:tc>
      </w:tr>
      <w:tr w:rsidR="004B1E13" w:rsidRPr="001146F7" w14:paraId="17F4B639" w14:textId="77777777" w:rsidTr="006A0C1B">
        <w:trPr>
          <w:trHeight w:val="255"/>
        </w:trPr>
        <w:tc>
          <w:tcPr>
            <w:tcW w:w="2300" w:type="dxa"/>
            <w:tcBorders>
              <w:top w:val="single" w:sz="4" w:space="0" w:color="95B3D7"/>
              <w:left w:val="single" w:sz="4" w:space="0" w:color="95B3D7"/>
              <w:bottom w:val="single" w:sz="4" w:space="0" w:color="95B3D7"/>
              <w:right w:val="nil"/>
            </w:tcBorders>
            <w:shd w:val="clear" w:color="DCE6F1" w:fill="DCE6F1"/>
            <w:noWrap/>
            <w:vAlign w:val="bottom"/>
            <w:hideMark/>
          </w:tcPr>
          <w:p w14:paraId="52F70193" w14:textId="77777777" w:rsidR="004B1E13" w:rsidRPr="001146F7" w:rsidRDefault="004B1E13" w:rsidP="004B1E13">
            <w:pPr>
              <w:spacing w:after="0" w:line="240" w:lineRule="auto"/>
              <w:jc w:val="center"/>
              <w:rPr>
                <w:rFonts w:ascii="Tahoma" w:eastAsia="Times New Roman" w:hAnsi="Tahoma" w:cs="Tahoma"/>
                <w:color w:val="000000"/>
                <w:sz w:val="20"/>
                <w:szCs w:val="20"/>
                <w:lang w:eastAsia="pl-PL"/>
              </w:rPr>
            </w:pPr>
            <w:r w:rsidRPr="001146F7">
              <w:rPr>
                <w:rFonts w:ascii="Tahoma" w:eastAsia="Times New Roman" w:hAnsi="Tahoma" w:cs="Tahoma"/>
                <w:color w:val="000000"/>
                <w:sz w:val="20"/>
                <w:szCs w:val="20"/>
                <w:lang w:eastAsia="pl-PL"/>
              </w:rPr>
              <w:t>7</w:t>
            </w:r>
          </w:p>
        </w:tc>
        <w:tc>
          <w:tcPr>
            <w:tcW w:w="4074" w:type="dxa"/>
            <w:tcBorders>
              <w:top w:val="single" w:sz="4" w:space="0" w:color="95B3D7"/>
              <w:left w:val="nil"/>
              <w:bottom w:val="single" w:sz="4" w:space="0" w:color="95B3D7"/>
              <w:right w:val="nil"/>
            </w:tcBorders>
            <w:shd w:val="clear" w:color="DCE6F1" w:fill="DCE6F1"/>
            <w:noWrap/>
            <w:hideMark/>
          </w:tcPr>
          <w:p w14:paraId="690433AD" w14:textId="72A055F6" w:rsidR="004B1E13" w:rsidRPr="001146F7" w:rsidRDefault="004B1E13" w:rsidP="004B1E13">
            <w:pPr>
              <w:spacing w:after="0" w:line="240" w:lineRule="auto"/>
              <w:jc w:val="center"/>
              <w:rPr>
                <w:rFonts w:ascii="Tahoma" w:eastAsia="Times New Roman" w:hAnsi="Tahoma" w:cs="Tahoma"/>
                <w:color w:val="000000"/>
                <w:sz w:val="20"/>
                <w:szCs w:val="20"/>
                <w:lang w:eastAsia="pl-PL"/>
              </w:rPr>
            </w:pPr>
            <w:r w:rsidRPr="00580CFD">
              <w:t>24 60</w:t>
            </w:r>
            <w:r w:rsidR="006A0C1B">
              <w:t>9</w:t>
            </w:r>
            <w:r w:rsidRPr="00580CFD">
              <w:t> — 42 59</w:t>
            </w:r>
            <w:r w:rsidR="006A0C1B">
              <w:t>5</w:t>
            </w:r>
            <w:r w:rsidRPr="00580CFD">
              <w:t> </w:t>
            </w:r>
          </w:p>
        </w:tc>
        <w:tc>
          <w:tcPr>
            <w:tcW w:w="2693" w:type="dxa"/>
            <w:tcBorders>
              <w:top w:val="single" w:sz="4" w:space="0" w:color="95B3D7"/>
              <w:left w:val="nil"/>
              <w:bottom w:val="single" w:sz="4" w:space="0" w:color="95B3D7"/>
              <w:right w:val="nil"/>
            </w:tcBorders>
            <w:shd w:val="clear" w:color="DCE6F1" w:fill="DCE6F1"/>
            <w:noWrap/>
            <w:hideMark/>
          </w:tcPr>
          <w:p w14:paraId="613F546E" w14:textId="1491C583" w:rsidR="004B1E13" w:rsidRPr="001146F7" w:rsidRDefault="004B1E13" w:rsidP="004B1E13">
            <w:pPr>
              <w:spacing w:after="0" w:line="240" w:lineRule="auto"/>
              <w:jc w:val="center"/>
              <w:rPr>
                <w:rFonts w:ascii="Tahoma" w:eastAsia="Times New Roman" w:hAnsi="Tahoma" w:cs="Tahoma"/>
                <w:color w:val="000000"/>
                <w:sz w:val="20"/>
                <w:szCs w:val="20"/>
                <w:lang w:eastAsia="pl-PL"/>
              </w:rPr>
            </w:pPr>
            <w:r w:rsidRPr="00580CFD">
              <w:t>143,714</w:t>
            </w:r>
          </w:p>
        </w:tc>
        <w:tc>
          <w:tcPr>
            <w:tcW w:w="3353" w:type="dxa"/>
            <w:tcBorders>
              <w:top w:val="single" w:sz="4" w:space="0" w:color="95B3D7"/>
              <w:left w:val="nil"/>
              <w:bottom w:val="single" w:sz="4" w:space="0" w:color="95B3D7"/>
              <w:right w:val="single" w:sz="4" w:space="0" w:color="95B3D7"/>
            </w:tcBorders>
            <w:shd w:val="clear" w:color="DCE6F1" w:fill="DCE6F1"/>
            <w:noWrap/>
            <w:hideMark/>
          </w:tcPr>
          <w:p w14:paraId="5596DEF8" w14:textId="02A1683B" w:rsidR="004B1E13" w:rsidRPr="001146F7" w:rsidRDefault="004B1E13" w:rsidP="004B1E13">
            <w:pPr>
              <w:spacing w:after="0" w:line="240" w:lineRule="auto"/>
              <w:jc w:val="center"/>
              <w:rPr>
                <w:rFonts w:ascii="Tahoma" w:eastAsia="Times New Roman" w:hAnsi="Tahoma" w:cs="Tahoma"/>
                <w:color w:val="000000"/>
                <w:sz w:val="20"/>
                <w:szCs w:val="20"/>
                <w:lang w:eastAsia="pl-PL"/>
              </w:rPr>
            </w:pPr>
            <w:r w:rsidRPr="00580CFD">
              <w:t>3</w:t>
            </w:r>
          </w:p>
        </w:tc>
      </w:tr>
      <w:tr w:rsidR="004B1E13" w:rsidRPr="001146F7" w14:paraId="0F7F376B" w14:textId="77777777" w:rsidTr="006A0C1B">
        <w:trPr>
          <w:trHeight w:val="255"/>
        </w:trPr>
        <w:tc>
          <w:tcPr>
            <w:tcW w:w="2300" w:type="dxa"/>
            <w:tcBorders>
              <w:top w:val="single" w:sz="4" w:space="0" w:color="95B3D7"/>
              <w:left w:val="single" w:sz="4" w:space="0" w:color="95B3D7"/>
              <w:bottom w:val="single" w:sz="4" w:space="0" w:color="95B3D7"/>
              <w:right w:val="nil"/>
            </w:tcBorders>
            <w:shd w:val="clear" w:color="DCE6F1" w:fill="DCE6F1"/>
            <w:noWrap/>
            <w:vAlign w:val="bottom"/>
          </w:tcPr>
          <w:p w14:paraId="5E2D318D" w14:textId="1E7DC37D" w:rsidR="004B1E13" w:rsidRPr="001146F7" w:rsidRDefault="004B1E13" w:rsidP="004B1E13">
            <w:pPr>
              <w:spacing w:after="0" w:line="240" w:lineRule="auto"/>
              <w:jc w:val="center"/>
              <w:rPr>
                <w:rFonts w:ascii="Tahoma" w:eastAsia="Times New Roman" w:hAnsi="Tahoma" w:cs="Tahoma"/>
                <w:color w:val="000000"/>
                <w:sz w:val="20"/>
                <w:szCs w:val="20"/>
                <w:lang w:eastAsia="pl-PL"/>
              </w:rPr>
            </w:pPr>
            <w:r>
              <w:rPr>
                <w:rFonts w:ascii="Tahoma" w:eastAsia="Times New Roman" w:hAnsi="Tahoma" w:cs="Tahoma"/>
                <w:color w:val="000000"/>
                <w:sz w:val="20"/>
                <w:szCs w:val="20"/>
                <w:lang w:eastAsia="pl-PL"/>
              </w:rPr>
              <w:t>8</w:t>
            </w:r>
          </w:p>
        </w:tc>
        <w:tc>
          <w:tcPr>
            <w:tcW w:w="4074" w:type="dxa"/>
            <w:tcBorders>
              <w:top w:val="single" w:sz="4" w:space="0" w:color="95B3D7"/>
              <w:left w:val="nil"/>
              <w:bottom w:val="single" w:sz="4" w:space="0" w:color="95B3D7"/>
              <w:right w:val="nil"/>
            </w:tcBorders>
            <w:shd w:val="clear" w:color="DCE6F1" w:fill="DCE6F1"/>
            <w:noWrap/>
          </w:tcPr>
          <w:p w14:paraId="06D2DB19" w14:textId="314285FE" w:rsidR="004B1E13" w:rsidRPr="001146F7" w:rsidRDefault="004B1E13" w:rsidP="004B1E13">
            <w:pPr>
              <w:spacing w:after="0" w:line="240" w:lineRule="auto"/>
              <w:jc w:val="center"/>
              <w:rPr>
                <w:rFonts w:ascii="Tahoma" w:eastAsia="Times New Roman" w:hAnsi="Tahoma" w:cs="Tahoma"/>
                <w:color w:val="000000"/>
                <w:sz w:val="20"/>
                <w:szCs w:val="20"/>
                <w:lang w:eastAsia="pl-PL"/>
              </w:rPr>
            </w:pPr>
            <w:r w:rsidRPr="00580CFD">
              <w:t>42 59</w:t>
            </w:r>
            <w:r w:rsidR="006A0C1B">
              <w:t>5</w:t>
            </w:r>
            <w:r w:rsidRPr="00580CFD">
              <w:t xml:space="preserve"> — </w:t>
            </w:r>
          </w:p>
        </w:tc>
        <w:tc>
          <w:tcPr>
            <w:tcW w:w="2693" w:type="dxa"/>
            <w:tcBorders>
              <w:top w:val="single" w:sz="4" w:space="0" w:color="95B3D7"/>
              <w:left w:val="nil"/>
              <w:bottom w:val="single" w:sz="4" w:space="0" w:color="95B3D7"/>
              <w:right w:val="nil"/>
            </w:tcBorders>
            <w:shd w:val="clear" w:color="DCE6F1" w:fill="DCE6F1"/>
            <w:noWrap/>
          </w:tcPr>
          <w:p w14:paraId="622BFEA2" w14:textId="76E4C79C" w:rsidR="004B1E13" w:rsidRPr="001146F7" w:rsidRDefault="004B1E13" w:rsidP="004B1E13">
            <w:pPr>
              <w:spacing w:after="0" w:line="240" w:lineRule="auto"/>
              <w:jc w:val="center"/>
              <w:rPr>
                <w:rFonts w:ascii="Tahoma" w:eastAsia="Times New Roman" w:hAnsi="Tahoma" w:cs="Tahoma"/>
                <w:color w:val="000000"/>
                <w:sz w:val="20"/>
                <w:szCs w:val="20"/>
                <w:lang w:eastAsia="pl-PL"/>
              </w:rPr>
            </w:pPr>
            <w:r w:rsidRPr="00580CFD">
              <w:t>1</w:t>
            </w:r>
          </w:p>
        </w:tc>
        <w:tc>
          <w:tcPr>
            <w:tcW w:w="3353" w:type="dxa"/>
            <w:tcBorders>
              <w:top w:val="single" w:sz="4" w:space="0" w:color="95B3D7"/>
              <w:left w:val="nil"/>
              <w:bottom w:val="single" w:sz="4" w:space="0" w:color="95B3D7"/>
              <w:right w:val="single" w:sz="4" w:space="0" w:color="95B3D7"/>
            </w:tcBorders>
            <w:shd w:val="clear" w:color="DCE6F1" w:fill="DCE6F1"/>
            <w:noWrap/>
          </w:tcPr>
          <w:p w14:paraId="4CD481AA" w14:textId="41CA9EE7" w:rsidR="004B1E13" w:rsidRPr="001146F7" w:rsidRDefault="004B1E13" w:rsidP="004B1E13">
            <w:pPr>
              <w:spacing w:after="0" w:line="240" w:lineRule="auto"/>
              <w:jc w:val="center"/>
              <w:rPr>
                <w:rFonts w:ascii="Tahoma" w:eastAsia="Times New Roman" w:hAnsi="Tahoma" w:cs="Tahoma"/>
                <w:color w:val="000000"/>
                <w:sz w:val="20"/>
                <w:szCs w:val="20"/>
                <w:lang w:eastAsia="pl-PL"/>
              </w:rPr>
            </w:pPr>
            <w:r w:rsidRPr="00580CFD">
              <w:t>3</w:t>
            </w:r>
          </w:p>
        </w:tc>
      </w:tr>
    </w:tbl>
    <w:p w14:paraId="17870427" w14:textId="77777777" w:rsidR="001146F7" w:rsidRDefault="001146F7">
      <w:pPr>
        <w:rPr>
          <w:rFonts w:eastAsia="Times New Roman" w:cstheme="minorHAnsi"/>
          <w:b/>
          <w:iCs/>
          <w:color w:val="000000"/>
          <w:szCs w:val="20"/>
          <w:lang w:eastAsia="pl-PL"/>
        </w:rPr>
      </w:pPr>
    </w:p>
    <w:p w14:paraId="0395E748" w14:textId="61380227" w:rsidR="00A730BE" w:rsidRPr="00C75DD7" w:rsidRDefault="0053756E" w:rsidP="00EB219B">
      <w:pPr>
        <w:keepNext/>
        <w:shd w:val="clear" w:color="auto" w:fill="FFFFFF"/>
        <w:spacing w:before="312" w:after="120" w:line="240" w:lineRule="auto"/>
        <w:rPr>
          <w:rFonts w:eastAsia="Times New Roman" w:cstheme="minorHAnsi"/>
          <w:b/>
          <w:iCs/>
          <w:color w:val="000000"/>
          <w:szCs w:val="20"/>
          <w:lang w:eastAsia="pl-PL"/>
        </w:rPr>
      </w:pPr>
      <w:r w:rsidRPr="00C75DD7">
        <w:rPr>
          <w:rFonts w:eastAsia="Times New Roman" w:cstheme="minorHAnsi"/>
          <w:b/>
          <w:iCs/>
          <w:color w:val="000000"/>
          <w:szCs w:val="20"/>
          <w:lang w:eastAsia="pl-PL"/>
        </w:rPr>
        <w:lastRenderedPageBreak/>
        <w:t>Relacja ekspozycji z tytułu instrumentów pochodnych do aktywów ogółem</w:t>
      </w:r>
    </w:p>
    <w:p w14:paraId="5706EFBF" w14:textId="77777777" w:rsidR="00E56507" w:rsidRDefault="00E56507" w:rsidP="00EB219B">
      <w:pPr>
        <w:keepNext/>
        <w:rPr>
          <w:rFonts w:cstheme="minorHAnsi"/>
        </w:rPr>
      </w:pPr>
    </w:p>
    <w:tbl>
      <w:tblPr>
        <w:tblW w:w="12420" w:type="dxa"/>
        <w:tblCellMar>
          <w:left w:w="70" w:type="dxa"/>
          <w:right w:w="70" w:type="dxa"/>
        </w:tblCellMar>
        <w:tblLook w:val="04A0" w:firstRow="1" w:lastRow="0" w:firstColumn="1" w:lastColumn="0" w:noHBand="0" w:noVBand="1"/>
      </w:tblPr>
      <w:tblGrid>
        <w:gridCol w:w="2300"/>
        <w:gridCol w:w="3620"/>
        <w:gridCol w:w="3020"/>
        <w:gridCol w:w="3480"/>
      </w:tblGrid>
      <w:tr w:rsidR="001146F7" w:rsidRPr="001146F7" w14:paraId="4CC05598" w14:textId="77777777" w:rsidTr="001146F7">
        <w:trPr>
          <w:trHeight w:val="255"/>
        </w:trPr>
        <w:tc>
          <w:tcPr>
            <w:tcW w:w="2300" w:type="dxa"/>
            <w:tcBorders>
              <w:top w:val="single" w:sz="4" w:space="0" w:color="95B3D7"/>
              <w:left w:val="single" w:sz="4" w:space="0" w:color="95B3D7"/>
              <w:bottom w:val="single" w:sz="4" w:space="0" w:color="95B3D7"/>
              <w:right w:val="nil"/>
            </w:tcBorders>
            <w:shd w:val="clear" w:color="4F81BD" w:fill="4F81BD"/>
            <w:noWrap/>
            <w:vAlign w:val="bottom"/>
            <w:hideMark/>
          </w:tcPr>
          <w:p w14:paraId="793F90DE" w14:textId="77777777" w:rsidR="001146F7" w:rsidRPr="001146F7" w:rsidRDefault="001146F7" w:rsidP="00EB219B">
            <w:pPr>
              <w:keepNext/>
              <w:spacing w:after="0" w:line="240" w:lineRule="auto"/>
              <w:jc w:val="center"/>
              <w:rPr>
                <w:rFonts w:ascii="Tahoma" w:eastAsia="Times New Roman" w:hAnsi="Tahoma" w:cs="Tahoma"/>
                <w:b/>
                <w:bCs/>
                <w:color w:val="FFFFFF"/>
                <w:sz w:val="20"/>
                <w:szCs w:val="20"/>
                <w:lang w:eastAsia="pl-PL"/>
              </w:rPr>
            </w:pPr>
            <w:r w:rsidRPr="001146F7">
              <w:rPr>
                <w:rFonts w:ascii="Tahoma" w:eastAsia="Times New Roman" w:hAnsi="Tahoma" w:cs="Tahoma"/>
                <w:b/>
                <w:bCs/>
                <w:color w:val="FFFFFF"/>
                <w:sz w:val="20"/>
                <w:szCs w:val="20"/>
                <w:lang w:eastAsia="pl-PL"/>
              </w:rPr>
              <w:t>Numer przedziału</w:t>
            </w:r>
          </w:p>
        </w:tc>
        <w:tc>
          <w:tcPr>
            <w:tcW w:w="3620" w:type="dxa"/>
            <w:tcBorders>
              <w:top w:val="single" w:sz="4" w:space="0" w:color="95B3D7"/>
              <w:left w:val="nil"/>
              <w:bottom w:val="single" w:sz="4" w:space="0" w:color="95B3D7"/>
              <w:right w:val="nil"/>
            </w:tcBorders>
            <w:shd w:val="clear" w:color="4F81BD" w:fill="4F81BD"/>
            <w:noWrap/>
            <w:vAlign w:val="bottom"/>
            <w:hideMark/>
          </w:tcPr>
          <w:p w14:paraId="16A59FDE" w14:textId="77777777" w:rsidR="001146F7" w:rsidRPr="001146F7" w:rsidRDefault="001146F7" w:rsidP="00EB219B">
            <w:pPr>
              <w:keepNext/>
              <w:spacing w:after="0" w:line="240" w:lineRule="auto"/>
              <w:jc w:val="center"/>
              <w:rPr>
                <w:rFonts w:ascii="Tahoma" w:eastAsia="Times New Roman" w:hAnsi="Tahoma" w:cs="Tahoma"/>
                <w:b/>
                <w:bCs/>
                <w:color w:val="FFFFFF"/>
                <w:sz w:val="20"/>
                <w:szCs w:val="20"/>
                <w:lang w:eastAsia="pl-PL"/>
              </w:rPr>
            </w:pPr>
            <w:r w:rsidRPr="001146F7">
              <w:rPr>
                <w:rFonts w:ascii="Tahoma" w:eastAsia="Times New Roman" w:hAnsi="Tahoma" w:cs="Tahoma"/>
                <w:b/>
                <w:bCs/>
                <w:color w:val="FFFFFF"/>
                <w:sz w:val="20"/>
                <w:szCs w:val="20"/>
                <w:lang w:eastAsia="pl-PL"/>
              </w:rPr>
              <w:t>Przedziały wartości wskaźnika</w:t>
            </w:r>
          </w:p>
        </w:tc>
        <w:tc>
          <w:tcPr>
            <w:tcW w:w="3020" w:type="dxa"/>
            <w:tcBorders>
              <w:top w:val="single" w:sz="4" w:space="0" w:color="95B3D7"/>
              <w:left w:val="nil"/>
              <w:bottom w:val="single" w:sz="4" w:space="0" w:color="95B3D7"/>
              <w:right w:val="nil"/>
            </w:tcBorders>
            <w:shd w:val="clear" w:color="4F81BD" w:fill="4F81BD"/>
            <w:noWrap/>
            <w:vAlign w:val="bottom"/>
            <w:hideMark/>
          </w:tcPr>
          <w:p w14:paraId="6AF2CE01" w14:textId="77777777" w:rsidR="001146F7" w:rsidRPr="001146F7" w:rsidRDefault="001146F7" w:rsidP="00EB219B">
            <w:pPr>
              <w:keepNext/>
              <w:spacing w:after="0" w:line="240" w:lineRule="auto"/>
              <w:jc w:val="center"/>
              <w:rPr>
                <w:rFonts w:ascii="Tahoma" w:eastAsia="Times New Roman" w:hAnsi="Tahoma" w:cs="Tahoma"/>
                <w:b/>
                <w:bCs/>
                <w:color w:val="FFFFFF"/>
                <w:sz w:val="20"/>
                <w:szCs w:val="20"/>
                <w:lang w:eastAsia="pl-PL"/>
              </w:rPr>
            </w:pPr>
            <w:r w:rsidRPr="001146F7">
              <w:rPr>
                <w:rFonts w:ascii="Tahoma" w:eastAsia="Times New Roman" w:hAnsi="Tahoma" w:cs="Tahoma"/>
                <w:b/>
                <w:bCs/>
                <w:color w:val="FFFFFF"/>
                <w:sz w:val="20"/>
                <w:szCs w:val="20"/>
                <w:lang w:eastAsia="pl-PL"/>
              </w:rPr>
              <w:t>Ocena ryzyka przedziału</w:t>
            </w:r>
          </w:p>
        </w:tc>
        <w:tc>
          <w:tcPr>
            <w:tcW w:w="3480" w:type="dxa"/>
            <w:tcBorders>
              <w:top w:val="single" w:sz="4" w:space="0" w:color="95B3D7"/>
              <w:left w:val="nil"/>
              <w:bottom w:val="single" w:sz="4" w:space="0" w:color="95B3D7"/>
              <w:right w:val="single" w:sz="4" w:space="0" w:color="95B3D7"/>
            </w:tcBorders>
            <w:shd w:val="clear" w:color="4F81BD" w:fill="4F81BD"/>
            <w:noWrap/>
            <w:vAlign w:val="bottom"/>
            <w:hideMark/>
          </w:tcPr>
          <w:p w14:paraId="7FD5EBB4" w14:textId="77777777" w:rsidR="001146F7" w:rsidRPr="001146F7" w:rsidRDefault="001146F7" w:rsidP="00EB219B">
            <w:pPr>
              <w:keepNext/>
              <w:spacing w:after="0" w:line="240" w:lineRule="auto"/>
              <w:jc w:val="center"/>
              <w:rPr>
                <w:rFonts w:ascii="Tahoma" w:eastAsia="Times New Roman" w:hAnsi="Tahoma" w:cs="Tahoma"/>
                <w:b/>
                <w:bCs/>
                <w:color w:val="FFFFFF"/>
                <w:sz w:val="20"/>
                <w:szCs w:val="20"/>
                <w:lang w:eastAsia="pl-PL"/>
              </w:rPr>
            </w:pPr>
            <w:r w:rsidRPr="001146F7">
              <w:rPr>
                <w:rFonts w:ascii="Tahoma" w:eastAsia="Times New Roman" w:hAnsi="Tahoma" w:cs="Tahoma"/>
                <w:b/>
                <w:bCs/>
                <w:color w:val="FFFFFF"/>
                <w:sz w:val="20"/>
                <w:szCs w:val="20"/>
                <w:lang w:eastAsia="pl-PL"/>
              </w:rPr>
              <w:t>Liczba instytucji w przedziale</w:t>
            </w:r>
          </w:p>
        </w:tc>
      </w:tr>
      <w:tr w:rsidR="004B1E13" w:rsidRPr="001146F7" w14:paraId="3276DCB5" w14:textId="77777777" w:rsidTr="009648D7">
        <w:trPr>
          <w:trHeight w:val="255"/>
        </w:trPr>
        <w:tc>
          <w:tcPr>
            <w:tcW w:w="2300" w:type="dxa"/>
            <w:tcBorders>
              <w:top w:val="single" w:sz="4" w:space="0" w:color="95B3D7"/>
              <w:left w:val="single" w:sz="4" w:space="0" w:color="95B3D7"/>
              <w:bottom w:val="single" w:sz="4" w:space="0" w:color="95B3D7"/>
              <w:right w:val="nil"/>
            </w:tcBorders>
            <w:shd w:val="clear" w:color="DCE6F1" w:fill="DCE6F1"/>
            <w:noWrap/>
            <w:vAlign w:val="bottom"/>
            <w:hideMark/>
          </w:tcPr>
          <w:p w14:paraId="09A09624" w14:textId="77777777" w:rsidR="004B1E13" w:rsidRPr="001146F7" w:rsidRDefault="004B1E13" w:rsidP="004B1E13">
            <w:pPr>
              <w:keepNext/>
              <w:spacing w:after="0" w:line="240" w:lineRule="auto"/>
              <w:jc w:val="center"/>
              <w:rPr>
                <w:rFonts w:ascii="Tahoma" w:eastAsia="Times New Roman" w:hAnsi="Tahoma" w:cs="Tahoma"/>
                <w:color w:val="000000"/>
                <w:sz w:val="20"/>
                <w:szCs w:val="20"/>
                <w:lang w:eastAsia="pl-PL"/>
              </w:rPr>
            </w:pPr>
            <w:r w:rsidRPr="001146F7">
              <w:rPr>
                <w:rFonts w:ascii="Tahoma" w:eastAsia="Times New Roman" w:hAnsi="Tahoma" w:cs="Tahoma"/>
                <w:color w:val="000000"/>
                <w:sz w:val="20"/>
                <w:szCs w:val="20"/>
                <w:lang w:eastAsia="pl-PL"/>
              </w:rPr>
              <w:t>1</w:t>
            </w:r>
          </w:p>
        </w:tc>
        <w:tc>
          <w:tcPr>
            <w:tcW w:w="3620" w:type="dxa"/>
            <w:tcBorders>
              <w:top w:val="single" w:sz="4" w:space="0" w:color="95B3D7"/>
              <w:left w:val="nil"/>
              <w:bottom w:val="single" w:sz="4" w:space="0" w:color="95B3D7"/>
              <w:right w:val="nil"/>
            </w:tcBorders>
            <w:shd w:val="clear" w:color="DCE6F1" w:fill="DCE6F1"/>
            <w:noWrap/>
            <w:hideMark/>
          </w:tcPr>
          <w:p w14:paraId="70ACA876" w14:textId="2B3A1DEA" w:rsidR="004B1E13" w:rsidRPr="001146F7" w:rsidRDefault="004B1E13" w:rsidP="004B1E13">
            <w:pPr>
              <w:keepNext/>
              <w:spacing w:after="0" w:line="240" w:lineRule="auto"/>
              <w:jc w:val="center"/>
              <w:rPr>
                <w:rFonts w:ascii="Tahoma" w:eastAsia="Times New Roman" w:hAnsi="Tahoma" w:cs="Tahoma"/>
                <w:color w:val="000000"/>
                <w:sz w:val="20"/>
                <w:szCs w:val="20"/>
                <w:lang w:eastAsia="pl-PL"/>
              </w:rPr>
            </w:pPr>
            <w:r w:rsidRPr="003E6FF3">
              <w:t xml:space="preserve"> — 0,00</w:t>
            </w:r>
            <w:r>
              <w:t>3</w:t>
            </w:r>
            <w:r w:rsidRPr="003E6FF3">
              <w:t>%</w:t>
            </w:r>
          </w:p>
        </w:tc>
        <w:tc>
          <w:tcPr>
            <w:tcW w:w="3020" w:type="dxa"/>
            <w:tcBorders>
              <w:top w:val="single" w:sz="4" w:space="0" w:color="95B3D7"/>
              <w:left w:val="nil"/>
              <w:bottom w:val="single" w:sz="4" w:space="0" w:color="95B3D7"/>
              <w:right w:val="nil"/>
            </w:tcBorders>
            <w:shd w:val="clear" w:color="DCE6F1" w:fill="DCE6F1"/>
            <w:noWrap/>
            <w:hideMark/>
          </w:tcPr>
          <w:p w14:paraId="2AC7985A" w14:textId="7FF5DA05" w:rsidR="004B1E13" w:rsidRPr="001146F7" w:rsidRDefault="004B1E13" w:rsidP="004B1E13">
            <w:pPr>
              <w:keepNext/>
              <w:spacing w:after="0" w:line="240" w:lineRule="auto"/>
              <w:jc w:val="center"/>
              <w:rPr>
                <w:rFonts w:ascii="Tahoma" w:eastAsia="Times New Roman" w:hAnsi="Tahoma" w:cs="Tahoma"/>
                <w:color w:val="000000"/>
                <w:sz w:val="20"/>
                <w:szCs w:val="20"/>
                <w:lang w:eastAsia="pl-PL"/>
              </w:rPr>
            </w:pPr>
            <w:r w:rsidRPr="003E6FF3">
              <w:t>1000</w:t>
            </w:r>
          </w:p>
        </w:tc>
        <w:tc>
          <w:tcPr>
            <w:tcW w:w="3480" w:type="dxa"/>
            <w:tcBorders>
              <w:top w:val="single" w:sz="4" w:space="0" w:color="95B3D7"/>
              <w:left w:val="nil"/>
              <w:bottom w:val="single" w:sz="4" w:space="0" w:color="95B3D7"/>
              <w:right w:val="single" w:sz="4" w:space="0" w:color="95B3D7"/>
            </w:tcBorders>
            <w:shd w:val="clear" w:color="DCE6F1" w:fill="DCE6F1"/>
            <w:noWrap/>
            <w:hideMark/>
          </w:tcPr>
          <w:p w14:paraId="462C744F" w14:textId="19867B91" w:rsidR="004B1E13" w:rsidRPr="001146F7" w:rsidRDefault="004B1E13" w:rsidP="004B1E13">
            <w:pPr>
              <w:keepNext/>
              <w:spacing w:after="0" w:line="240" w:lineRule="auto"/>
              <w:jc w:val="center"/>
              <w:rPr>
                <w:rFonts w:ascii="Tahoma" w:eastAsia="Times New Roman" w:hAnsi="Tahoma" w:cs="Tahoma"/>
                <w:color w:val="000000"/>
                <w:sz w:val="20"/>
                <w:szCs w:val="20"/>
                <w:lang w:eastAsia="pl-PL"/>
              </w:rPr>
            </w:pPr>
            <w:r w:rsidRPr="003E6FF3">
              <w:t>4</w:t>
            </w:r>
          </w:p>
        </w:tc>
      </w:tr>
      <w:tr w:rsidR="004B1E13" w:rsidRPr="001146F7" w14:paraId="2CCA8D91" w14:textId="77777777" w:rsidTr="009648D7">
        <w:trPr>
          <w:trHeight w:val="255"/>
        </w:trPr>
        <w:tc>
          <w:tcPr>
            <w:tcW w:w="2300" w:type="dxa"/>
            <w:tcBorders>
              <w:top w:val="single" w:sz="4" w:space="0" w:color="95B3D7"/>
              <w:left w:val="single" w:sz="4" w:space="0" w:color="95B3D7"/>
              <w:bottom w:val="single" w:sz="4" w:space="0" w:color="95B3D7"/>
              <w:right w:val="nil"/>
            </w:tcBorders>
            <w:noWrap/>
            <w:vAlign w:val="bottom"/>
            <w:hideMark/>
          </w:tcPr>
          <w:p w14:paraId="14FDD5B6" w14:textId="77777777" w:rsidR="004B1E13" w:rsidRPr="001146F7" w:rsidRDefault="004B1E13" w:rsidP="004B1E13">
            <w:pPr>
              <w:keepNext/>
              <w:spacing w:after="0" w:line="240" w:lineRule="auto"/>
              <w:jc w:val="center"/>
              <w:rPr>
                <w:rFonts w:ascii="Tahoma" w:eastAsia="Times New Roman" w:hAnsi="Tahoma" w:cs="Tahoma"/>
                <w:color w:val="000000"/>
                <w:sz w:val="20"/>
                <w:szCs w:val="20"/>
                <w:lang w:eastAsia="pl-PL"/>
              </w:rPr>
            </w:pPr>
            <w:r w:rsidRPr="001146F7">
              <w:rPr>
                <w:rFonts w:ascii="Tahoma" w:eastAsia="Times New Roman" w:hAnsi="Tahoma" w:cs="Tahoma"/>
                <w:color w:val="000000"/>
                <w:sz w:val="20"/>
                <w:szCs w:val="20"/>
                <w:lang w:eastAsia="pl-PL"/>
              </w:rPr>
              <w:t>2</w:t>
            </w:r>
          </w:p>
        </w:tc>
        <w:tc>
          <w:tcPr>
            <w:tcW w:w="3620" w:type="dxa"/>
            <w:tcBorders>
              <w:top w:val="single" w:sz="4" w:space="0" w:color="95B3D7"/>
              <w:left w:val="nil"/>
              <w:bottom w:val="single" w:sz="4" w:space="0" w:color="95B3D7"/>
              <w:right w:val="nil"/>
            </w:tcBorders>
            <w:noWrap/>
            <w:hideMark/>
          </w:tcPr>
          <w:p w14:paraId="68FC654E" w14:textId="6F9A5A5E" w:rsidR="004B1E13" w:rsidRPr="001146F7" w:rsidRDefault="004B1E13" w:rsidP="004B1E13">
            <w:pPr>
              <w:keepNext/>
              <w:spacing w:after="0" w:line="240" w:lineRule="auto"/>
              <w:jc w:val="center"/>
              <w:rPr>
                <w:rFonts w:ascii="Tahoma" w:eastAsia="Times New Roman" w:hAnsi="Tahoma" w:cs="Tahoma"/>
                <w:color w:val="000000"/>
                <w:sz w:val="20"/>
                <w:szCs w:val="20"/>
                <w:lang w:eastAsia="pl-PL"/>
              </w:rPr>
            </w:pPr>
            <w:r w:rsidRPr="003E6FF3">
              <w:t>0,00</w:t>
            </w:r>
            <w:r>
              <w:t>3</w:t>
            </w:r>
            <w:r w:rsidRPr="003E6FF3">
              <w:t>% — 0,08%</w:t>
            </w:r>
          </w:p>
        </w:tc>
        <w:tc>
          <w:tcPr>
            <w:tcW w:w="3020" w:type="dxa"/>
            <w:tcBorders>
              <w:top w:val="single" w:sz="4" w:space="0" w:color="95B3D7"/>
              <w:left w:val="nil"/>
              <w:bottom w:val="single" w:sz="4" w:space="0" w:color="95B3D7"/>
              <w:right w:val="nil"/>
            </w:tcBorders>
            <w:noWrap/>
            <w:hideMark/>
          </w:tcPr>
          <w:p w14:paraId="35C75866" w14:textId="53438700" w:rsidR="004B1E13" w:rsidRPr="001146F7" w:rsidRDefault="004B1E13" w:rsidP="004B1E13">
            <w:pPr>
              <w:keepNext/>
              <w:spacing w:after="0" w:line="240" w:lineRule="auto"/>
              <w:jc w:val="center"/>
              <w:rPr>
                <w:rFonts w:ascii="Tahoma" w:eastAsia="Times New Roman" w:hAnsi="Tahoma" w:cs="Tahoma"/>
                <w:color w:val="000000"/>
                <w:sz w:val="20"/>
                <w:szCs w:val="20"/>
                <w:lang w:eastAsia="pl-PL"/>
              </w:rPr>
            </w:pPr>
            <w:r w:rsidRPr="003E6FF3">
              <w:t>857,286</w:t>
            </w:r>
          </w:p>
        </w:tc>
        <w:tc>
          <w:tcPr>
            <w:tcW w:w="3480" w:type="dxa"/>
            <w:tcBorders>
              <w:top w:val="single" w:sz="4" w:space="0" w:color="95B3D7"/>
              <w:left w:val="nil"/>
              <w:bottom w:val="single" w:sz="4" w:space="0" w:color="95B3D7"/>
              <w:right w:val="single" w:sz="4" w:space="0" w:color="95B3D7"/>
            </w:tcBorders>
            <w:noWrap/>
            <w:hideMark/>
          </w:tcPr>
          <w:p w14:paraId="3B970C95" w14:textId="4E7832D7" w:rsidR="004B1E13" w:rsidRPr="001146F7" w:rsidRDefault="004B1E13" w:rsidP="004B1E13">
            <w:pPr>
              <w:keepNext/>
              <w:spacing w:after="0" w:line="240" w:lineRule="auto"/>
              <w:jc w:val="center"/>
              <w:rPr>
                <w:rFonts w:ascii="Tahoma" w:eastAsia="Times New Roman" w:hAnsi="Tahoma" w:cs="Tahoma"/>
                <w:color w:val="000000"/>
                <w:sz w:val="20"/>
                <w:szCs w:val="20"/>
                <w:lang w:eastAsia="pl-PL"/>
              </w:rPr>
            </w:pPr>
            <w:r w:rsidRPr="003E6FF3">
              <w:t>3</w:t>
            </w:r>
          </w:p>
        </w:tc>
      </w:tr>
      <w:tr w:rsidR="004B1E13" w:rsidRPr="001146F7" w14:paraId="5235A4DE" w14:textId="77777777" w:rsidTr="009648D7">
        <w:trPr>
          <w:trHeight w:val="255"/>
        </w:trPr>
        <w:tc>
          <w:tcPr>
            <w:tcW w:w="2300" w:type="dxa"/>
            <w:tcBorders>
              <w:top w:val="single" w:sz="4" w:space="0" w:color="95B3D7"/>
              <w:left w:val="single" w:sz="4" w:space="0" w:color="95B3D7"/>
              <w:bottom w:val="single" w:sz="4" w:space="0" w:color="95B3D7"/>
              <w:right w:val="nil"/>
            </w:tcBorders>
            <w:shd w:val="clear" w:color="DCE6F1" w:fill="DCE6F1"/>
            <w:noWrap/>
            <w:vAlign w:val="bottom"/>
            <w:hideMark/>
          </w:tcPr>
          <w:p w14:paraId="71A5BA8E" w14:textId="77777777" w:rsidR="004B1E13" w:rsidRPr="001146F7" w:rsidRDefault="004B1E13" w:rsidP="004B1E13">
            <w:pPr>
              <w:keepNext/>
              <w:spacing w:after="0" w:line="240" w:lineRule="auto"/>
              <w:jc w:val="center"/>
              <w:rPr>
                <w:rFonts w:ascii="Tahoma" w:eastAsia="Times New Roman" w:hAnsi="Tahoma" w:cs="Tahoma"/>
                <w:color w:val="000000"/>
                <w:sz w:val="20"/>
                <w:szCs w:val="20"/>
                <w:lang w:eastAsia="pl-PL"/>
              </w:rPr>
            </w:pPr>
            <w:r w:rsidRPr="001146F7">
              <w:rPr>
                <w:rFonts w:ascii="Tahoma" w:eastAsia="Times New Roman" w:hAnsi="Tahoma" w:cs="Tahoma"/>
                <w:color w:val="000000"/>
                <w:sz w:val="20"/>
                <w:szCs w:val="20"/>
                <w:lang w:eastAsia="pl-PL"/>
              </w:rPr>
              <w:t>3</w:t>
            </w:r>
          </w:p>
        </w:tc>
        <w:tc>
          <w:tcPr>
            <w:tcW w:w="3620" w:type="dxa"/>
            <w:tcBorders>
              <w:top w:val="single" w:sz="4" w:space="0" w:color="95B3D7"/>
              <w:left w:val="nil"/>
              <w:bottom w:val="single" w:sz="4" w:space="0" w:color="95B3D7"/>
              <w:right w:val="nil"/>
            </w:tcBorders>
            <w:shd w:val="clear" w:color="DCE6F1" w:fill="DCE6F1"/>
            <w:noWrap/>
            <w:hideMark/>
          </w:tcPr>
          <w:p w14:paraId="7DF2D357" w14:textId="543CAF1E" w:rsidR="004B1E13" w:rsidRPr="001146F7" w:rsidRDefault="004B1E13" w:rsidP="004B1E13">
            <w:pPr>
              <w:keepNext/>
              <w:spacing w:after="0" w:line="240" w:lineRule="auto"/>
              <w:jc w:val="center"/>
              <w:rPr>
                <w:rFonts w:ascii="Tahoma" w:eastAsia="Times New Roman" w:hAnsi="Tahoma" w:cs="Tahoma"/>
                <w:color w:val="000000"/>
                <w:sz w:val="20"/>
                <w:szCs w:val="20"/>
                <w:lang w:eastAsia="pl-PL"/>
              </w:rPr>
            </w:pPr>
            <w:r w:rsidRPr="003E6FF3">
              <w:t>0,08% — 0,39%</w:t>
            </w:r>
          </w:p>
        </w:tc>
        <w:tc>
          <w:tcPr>
            <w:tcW w:w="3020" w:type="dxa"/>
            <w:tcBorders>
              <w:top w:val="single" w:sz="4" w:space="0" w:color="95B3D7"/>
              <w:left w:val="nil"/>
              <w:bottom w:val="single" w:sz="4" w:space="0" w:color="95B3D7"/>
              <w:right w:val="nil"/>
            </w:tcBorders>
            <w:shd w:val="clear" w:color="DCE6F1" w:fill="DCE6F1"/>
            <w:noWrap/>
            <w:hideMark/>
          </w:tcPr>
          <w:p w14:paraId="67A2B740" w14:textId="064478FD" w:rsidR="004B1E13" w:rsidRPr="001146F7" w:rsidRDefault="004B1E13" w:rsidP="004B1E13">
            <w:pPr>
              <w:keepNext/>
              <w:spacing w:after="0" w:line="240" w:lineRule="auto"/>
              <w:jc w:val="center"/>
              <w:rPr>
                <w:rFonts w:ascii="Tahoma" w:eastAsia="Times New Roman" w:hAnsi="Tahoma" w:cs="Tahoma"/>
                <w:color w:val="000000"/>
                <w:sz w:val="20"/>
                <w:szCs w:val="20"/>
                <w:lang w:eastAsia="pl-PL"/>
              </w:rPr>
            </w:pPr>
            <w:r w:rsidRPr="003E6FF3">
              <w:t>714,571</w:t>
            </w:r>
          </w:p>
        </w:tc>
        <w:tc>
          <w:tcPr>
            <w:tcW w:w="3480" w:type="dxa"/>
            <w:tcBorders>
              <w:top w:val="single" w:sz="4" w:space="0" w:color="95B3D7"/>
              <w:left w:val="nil"/>
              <w:bottom w:val="single" w:sz="4" w:space="0" w:color="95B3D7"/>
              <w:right w:val="single" w:sz="4" w:space="0" w:color="95B3D7"/>
            </w:tcBorders>
            <w:shd w:val="clear" w:color="DCE6F1" w:fill="DCE6F1"/>
            <w:noWrap/>
            <w:hideMark/>
          </w:tcPr>
          <w:p w14:paraId="685CFBD2" w14:textId="026B8E84" w:rsidR="004B1E13" w:rsidRPr="001146F7" w:rsidRDefault="004B1E13" w:rsidP="004B1E13">
            <w:pPr>
              <w:keepNext/>
              <w:spacing w:after="0" w:line="240" w:lineRule="auto"/>
              <w:jc w:val="center"/>
              <w:rPr>
                <w:rFonts w:ascii="Tahoma" w:eastAsia="Times New Roman" w:hAnsi="Tahoma" w:cs="Tahoma"/>
                <w:color w:val="000000"/>
                <w:sz w:val="20"/>
                <w:szCs w:val="20"/>
                <w:lang w:eastAsia="pl-PL"/>
              </w:rPr>
            </w:pPr>
            <w:r w:rsidRPr="003E6FF3">
              <w:t>3</w:t>
            </w:r>
          </w:p>
        </w:tc>
      </w:tr>
      <w:tr w:rsidR="004B1E13" w:rsidRPr="001146F7" w14:paraId="2C3E3AB6" w14:textId="77777777" w:rsidTr="009648D7">
        <w:trPr>
          <w:trHeight w:val="255"/>
        </w:trPr>
        <w:tc>
          <w:tcPr>
            <w:tcW w:w="2300" w:type="dxa"/>
            <w:tcBorders>
              <w:top w:val="single" w:sz="4" w:space="0" w:color="95B3D7"/>
              <w:left w:val="single" w:sz="4" w:space="0" w:color="95B3D7"/>
              <w:bottom w:val="single" w:sz="4" w:space="0" w:color="95B3D7"/>
              <w:right w:val="nil"/>
            </w:tcBorders>
            <w:noWrap/>
            <w:vAlign w:val="bottom"/>
            <w:hideMark/>
          </w:tcPr>
          <w:p w14:paraId="6F02C2F8" w14:textId="77777777" w:rsidR="004B1E13" w:rsidRPr="001146F7" w:rsidRDefault="004B1E13" w:rsidP="004B1E13">
            <w:pPr>
              <w:keepNext/>
              <w:spacing w:after="0" w:line="240" w:lineRule="auto"/>
              <w:jc w:val="center"/>
              <w:rPr>
                <w:rFonts w:ascii="Tahoma" w:eastAsia="Times New Roman" w:hAnsi="Tahoma" w:cs="Tahoma"/>
                <w:color w:val="000000"/>
                <w:sz w:val="20"/>
                <w:szCs w:val="20"/>
                <w:lang w:eastAsia="pl-PL"/>
              </w:rPr>
            </w:pPr>
            <w:r w:rsidRPr="001146F7">
              <w:rPr>
                <w:rFonts w:ascii="Tahoma" w:eastAsia="Times New Roman" w:hAnsi="Tahoma" w:cs="Tahoma"/>
                <w:color w:val="000000"/>
                <w:sz w:val="20"/>
                <w:szCs w:val="20"/>
                <w:lang w:eastAsia="pl-PL"/>
              </w:rPr>
              <w:t>4</w:t>
            </w:r>
          </w:p>
        </w:tc>
        <w:tc>
          <w:tcPr>
            <w:tcW w:w="3620" w:type="dxa"/>
            <w:tcBorders>
              <w:top w:val="single" w:sz="4" w:space="0" w:color="95B3D7"/>
              <w:left w:val="nil"/>
              <w:bottom w:val="single" w:sz="4" w:space="0" w:color="95B3D7"/>
              <w:right w:val="nil"/>
            </w:tcBorders>
            <w:noWrap/>
            <w:hideMark/>
          </w:tcPr>
          <w:p w14:paraId="57FE9AA1" w14:textId="0A1DE780" w:rsidR="004B1E13" w:rsidRPr="001146F7" w:rsidRDefault="004B1E13" w:rsidP="004B1E13">
            <w:pPr>
              <w:keepNext/>
              <w:spacing w:after="0" w:line="240" w:lineRule="auto"/>
              <w:jc w:val="center"/>
              <w:rPr>
                <w:rFonts w:ascii="Tahoma" w:eastAsia="Times New Roman" w:hAnsi="Tahoma" w:cs="Tahoma"/>
                <w:color w:val="000000"/>
                <w:sz w:val="20"/>
                <w:szCs w:val="20"/>
                <w:lang w:eastAsia="pl-PL"/>
              </w:rPr>
            </w:pPr>
            <w:r w:rsidRPr="003E6FF3">
              <w:t>0,39% — 0,89%</w:t>
            </w:r>
          </w:p>
        </w:tc>
        <w:tc>
          <w:tcPr>
            <w:tcW w:w="3020" w:type="dxa"/>
            <w:tcBorders>
              <w:top w:val="single" w:sz="4" w:space="0" w:color="95B3D7"/>
              <w:left w:val="nil"/>
              <w:bottom w:val="single" w:sz="4" w:space="0" w:color="95B3D7"/>
              <w:right w:val="nil"/>
            </w:tcBorders>
            <w:noWrap/>
            <w:hideMark/>
          </w:tcPr>
          <w:p w14:paraId="5D7EFA1D" w14:textId="0D6C38EE" w:rsidR="004B1E13" w:rsidRPr="001146F7" w:rsidRDefault="004B1E13" w:rsidP="004B1E13">
            <w:pPr>
              <w:keepNext/>
              <w:spacing w:after="0" w:line="240" w:lineRule="auto"/>
              <w:jc w:val="center"/>
              <w:rPr>
                <w:rFonts w:ascii="Tahoma" w:eastAsia="Times New Roman" w:hAnsi="Tahoma" w:cs="Tahoma"/>
                <w:color w:val="000000"/>
                <w:sz w:val="20"/>
                <w:szCs w:val="20"/>
                <w:lang w:eastAsia="pl-PL"/>
              </w:rPr>
            </w:pPr>
            <w:r w:rsidRPr="003E6FF3">
              <w:t>571,857</w:t>
            </w:r>
          </w:p>
        </w:tc>
        <w:tc>
          <w:tcPr>
            <w:tcW w:w="3480" w:type="dxa"/>
            <w:tcBorders>
              <w:top w:val="single" w:sz="4" w:space="0" w:color="95B3D7"/>
              <w:left w:val="nil"/>
              <w:bottom w:val="single" w:sz="4" w:space="0" w:color="95B3D7"/>
              <w:right w:val="single" w:sz="4" w:space="0" w:color="95B3D7"/>
            </w:tcBorders>
            <w:noWrap/>
            <w:hideMark/>
          </w:tcPr>
          <w:p w14:paraId="6B4E0C64" w14:textId="60A70C72" w:rsidR="004B1E13" w:rsidRPr="001146F7" w:rsidRDefault="004B1E13" w:rsidP="004B1E13">
            <w:pPr>
              <w:keepNext/>
              <w:spacing w:after="0" w:line="240" w:lineRule="auto"/>
              <w:jc w:val="center"/>
              <w:rPr>
                <w:rFonts w:ascii="Tahoma" w:eastAsia="Times New Roman" w:hAnsi="Tahoma" w:cs="Tahoma"/>
                <w:color w:val="000000"/>
                <w:sz w:val="20"/>
                <w:szCs w:val="20"/>
                <w:lang w:eastAsia="pl-PL"/>
              </w:rPr>
            </w:pPr>
            <w:r w:rsidRPr="003E6FF3">
              <w:t>3</w:t>
            </w:r>
          </w:p>
        </w:tc>
      </w:tr>
      <w:tr w:rsidR="004B1E13" w:rsidRPr="001146F7" w14:paraId="482C9D84" w14:textId="77777777" w:rsidTr="009648D7">
        <w:trPr>
          <w:trHeight w:val="255"/>
        </w:trPr>
        <w:tc>
          <w:tcPr>
            <w:tcW w:w="2300" w:type="dxa"/>
            <w:tcBorders>
              <w:top w:val="single" w:sz="4" w:space="0" w:color="95B3D7"/>
              <w:left w:val="single" w:sz="4" w:space="0" w:color="95B3D7"/>
              <w:bottom w:val="single" w:sz="4" w:space="0" w:color="95B3D7"/>
              <w:right w:val="nil"/>
            </w:tcBorders>
            <w:shd w:val="clear" w:color="DCE6F1" w:fill="DCE6F1"/>
            <w:noWrap/>
            <w:vAlign w:val="bottom"/>
            <w:hideMark/>
          </w:tcPr>
          <w:p w14:paraId="6A5F1E9F" w14:textId="77777777" w:rsidR="004B1E13" w:rsidRPr="001146F7" w:rsidRDefault="004B1E13" w:rsidP="004B1E13">
            <w:pPr>
              <w:keepNext/>
              <w:spacing w:after="0" w:line="240" w:lineRule="auto"/>
              <w:jc w:val="center"/>
              <w:rPr>
                <w:rFonts w:ascii="Tahoma" w:eastAsia="Times New Roman" w:hAnsi="Tahoma" w:cs="Tahoma"/>
                <w:color w:val="000000"/>
                <w:sz w:val="20"/>
                <w:szCs w:val="20"/>
                <w:lang w:eastAsia="pl-PL"/>
              </w:rPr>
            </w:pPr>
            <w:r w:rsidRPr="001146F7">
              <w:rPr>
                <w:rFonts w:ascii="Tahoma" w:eastAsia="Times New Roman" w:hAnsi="Tahoma" w:cs="Tahoma"/>
                <w:color w:val="000000"/>
                <w:sz w:val="20"/>
                <w:szCs w:val="20"/>
                <w:lang w:eastAsia="pl-PL"/>
              </w:rPr>
              <w:t>5</w:t>
            </w:r>
          </w:p>
        </w:tc>
        <w:tc>
          <w:tcPr>
            <w:tcW w:w="3620" w:type="dxa"/>
            <w:tcBorders>
              <w:top w:val="single" w:sz="4" w:space="0" w:color="95B3D7"/>
              <w:left w:val="nil"/>
              <w:bottom w:val="single" w:sz="4" w:space="0" w:color="95B3D7"/>
              <w:right w:val="nil"/>
            </w:tcBorders>
            <w:shd w:val="clear" w:color="DCE6F1" w:fill="DCE6F1"/>
            <w:noWrap/>
            <w:hideMark/>
          </w:tcPr>
          <w:p w14:paraId="5E26B70A" w14:textId="123E053C" w:rsidR="004B1E13" w:rsidRPr="001146F7" w:rsidRDefault="004B1E13" w:rsidP="004B1E13">
            <w:pPr>
              <w:keepNext/>
              <w:spacing w:after="0" w:line="240" w:lineRule="auto"/>
              <w:jc w:val="center"/>
              <w:rPr>
                <w:rFonts w:ascii="Tahoma" w:eastAsia="Times New Roman" w:hAnsi="Tahoma" w:cs="Tahoma"/>
                <w:color w:val="000000"/>
                <w:sz w:val="20"/>
                <w:szCs w:val="20"/>
                <w:lang w:eastAsia="pl-PL"/>
              </w:rPr>
            </w:pPr>
            <w:r w:rsidRPr="003E6FF3">
              <w:t>0,89% — 1,23%</w:t>
            </w:r>
          </w:p>
        </w:tc>
        <w:tc>
          <w:tcPr>
            <w:tcW w:w="3020" w:type="dxa"/>
            <w:tcBorders>
              <w:top w:val="single" w:sz="4" w:space="0" w:color="95B3D7"/>
              <w:left w:val="nil"/>
              <w:bottom w:val="single" w:sz="4" w:space="0" w:color="95B3D7"/>
              <w:right w:val="nil"/>
            </w:tcBorders>
            <w:shd w:val="clear" w:color="DCE6F1" w:fill="DCE6F1"/>
            <w:noWrap/>
            <w:hideMark/>
          </w:tcPr>
          <w:p w14:paraId="0E48EF73" w14:textId="04536A11" w:rsidR="004B1E13" w:rsidRPr="001146F7" w:rsidRDefault="004B1E13" w:rsidP="004B1E13">
            <w:pPr>
              <w:keepNext/>
              <w:spacing w:after="0" w:line="240" w:lineRule="auto"/>
              <w:jc w:val="center"/>
              <w:rPr>
                <w:rFonts w:ascii="Tahoma" w:eastAsia="Times New Roman" w:hAnsi="Tahoma" w:cs="Tahoma"/>
                <w:color w:val="000000"/>
                <w:sz w:val="20"/>
                <w:szCs w:val="20"/>
                <w:lang w:eastAsia="pl-PL"/>
              </w:rPr>
            </w:pPr>
            <w:r w:rsidRPr="003E6FF3">
              <w:t>429,143</w:t>
            </w:r>
          </w:p>
        </w:tc>
        <w:tc>
          <w:tcPr>
            <w:tcW w:w="3480" w:type="dxa"/>
            <w:tcBorders>
              <w:top w:val="single" w:sz="4" w:space="0" w:color="95B3D7"/>
              <w:left w:val="nil"/>
              <w:bottom w:val="single" w:sz="4" w:space="0" w:color="95B3D7"/>
              <w:right w:val="single" w:sz="4" w:space="0" w:color="95B3D7"/>
            </w:tcBorders>
            <w:shd w:val="clear" w:color="DCE6F1" w:fill="DCE6F1"/>
            <w:noWrap/>
            <w:hideMark/>
          </w:tcPr>
          <w:p w14:paraId="1F16C913" w14:textId="4500675F" w:rsidR="004B1E13" w:rsidRPr="001146F7" w:rsidRDefault="004B1E13" w:rsidP="004B1E13">
            <w:pPr>
              <w:keepNext/>
              <w:spacing w:after="0" w:line="240" w:lineRule="auto"/>
              <w:jc w:val="center"/>
              <w:rPr>
                <w:rFonts w:ascii="Tahoma" w:eastAsia="Times New Roman" w:hAnsi="Tahoma" w:cs="Tahoma"/>
                <w:color w:val="000000"/>
                <w:sz w:val="20"/>
                <w:szCs w:val="20"/>
                <w:lang w:eastAsia="pl-PL"/>
              </w:rPr>
            </w:pPr>
            <w:r w:rsidRPr="003E6FF3">
              <w:t>3</w:t>
            </w:r>
          </w:p>
        </w:tc>
      </w:tr>
      <w:tr w:rsidR="004B1E13" w:rsidRPr="001146F7" w14:paraId="194C888B" w14:textId="77777777" w:rsidTr="009648D7">
        <w:trPr>
          <w:trHeight w:val="255"/>
        </w:trPr>
        <w:tc>
          <w:tcPr>
            <w:tcW w:w="2300" w:type="dxa"/>
            <w:tcBorders>
              <w:top w:val="single" w:sz="4" w:space="0" w:color="95B3D7"/>
              <w:left w:val="single" w:sz="4" w:space="0" w:color="95B3D7"/>
              <w:bottom w:val="single" w:sz="4" w:space="0" w:color="95B3D7"/>
              <w:right w:val="nil"/>
            </w:tcBorders>
            <w:noWrap/>
            <w:vAlign w:val="bottom"/>
            <w:hideMark/>
          </w:tcPr>
          <w:p w14:paraId="72A3B2F5" w14:textId="77777777" w:rsidR="004B1E13" w:rsidRPr="001146F7" w:rsidRDefault="004B1E13" w:rsidP="004B1E13">
            <w:pPr>
              <w:keepNext/>
              <w:spacing w:after="0" w:line="240" w:lineRule="auto"/>
              <w:jc w:val="center"/>
              <w:rPr>
                <w:rFonts w:ascii="Tahoma" w:eastAsia="Times New Roman" w:hAnsi="Tahoma" w:cs="Tahoma"/>
                <w:color w:val="000000"/>
                <w:sz w:val="20"/>
                <w:szCs w:val="20"/>
                <w:lang w:eastAsia="pl-PL"/>
              </w:rPr>
            </w:pPr>
            <w:r w:rsidRPr="001146F7">
              <w:rPr>
                <w:rFonts w:ascii="Tahoma" w:eastAsia="Times New Roman" w:hAnsi="Tahoma" w:cs="Tahoma"/>
                <w:color w:val="000000"/>
                <w:sz w:val="20"/>
                <w:szCs w:val="20"/>
                <w:lang w:eastAsia="pl-PL"/>
              </w:rPr>
              <w:t>6</w:t>
            </w:r>
          </w:p>
        </w:tc>
        <w:tc>
          <w:tcPr>
            <w:tcW w:w="3620" w:type="dxa"/>
            <w:tcBorders>
              <w:top w:val="single" w:sz="4" w:space="0" w:color="95B3D7"/>
              <w:left w:val="nil"/>
              <w:bottom w:val="single" w:sz="4" w:space="0" w:color="95B3D7"/>
              <w:right w:val="nil"/>
            </w:tcBorders>
            <w:noWrap/>
            <w:hideMark/>
          </w:tcPr>
          <w:p w14:paraId="0D155153" w14:textId="4DCA51C3" w:rsidR="004B1E13" w:rsidRPr="001146F7" w:rsidRDefault="004B1E13" w:rsidP="004B1E13">
            <w:pPr>
              <w:keepNext/>
              <w:spacing w:after="0" w:line="240" w:lineRule="auto"/>
              <w:jc w:val="center"/>
              <w:rPr>
                <w:rFonts w:ascii="Tahoma" w:eastAsia="Times New Roman" w:hAnsi="Tahoma" w:cs="Tahoma"/>
                <w:color w:val="000000"/>
                <w:sz w:val="20"/>
                <w:szCs w:val="20"/>
                <w:lang w:eastAsia="pl-PL"/>
              </w:rPr>
            </w:pPr>
            <w:r w:rsidRPr="003E6FF3">
              <w:t>1,23% — 1,85%</w:t>
            </w:r>
          </w:p>
        </w:tc>
        <w:tc>
          <w:tcPr>
            <w:tcW w:w="3020" w:type="dxa"/>
            <w:tcBorders>
              <w:top w:val="single" w:sz="4" w:space="0" w:color="95B3D7"/>
              <w:left w:val="nil"/>
              <w:bottom w:val="single" w:sz="4" w:space="0" w:color="95B3D7"/>
              <w:right w:val="nil"/>
            </w:tcBorders>
            <w:noWrap/>
            <w:hideMark/>
          </w:tcPr>
          <w:p w14:paraId="05DD9B6C" w14:textId="17241A82" w:rsidR="004B1E13" w:rsidRPr="001146F7" w:rsidRDefault="004B1E13" w:rsidP="004B1E13">
            <w:pPr>
              <w:keepNext/>
              <w:spacing w:after="0" w:line="240" w:lineRule="auto"/>
              <w:jc w:val="center"/>
              <w:rPr>
                <w:rFonts w:ascii="Tahoma" w:eastAsia="Times New Roman" w:hAnsi="Tahoma" w:cs="Tahoma"/>
                <w:color w:val="000000"/>
                <w:sz w:val="20"/>
                <w:szCs w:val="20"/>
                <w:lang w:eastAsia="pl-PL"/>
              </w:rPr>
            </w:pPr>
            <w:r w:rsidRPr="003E6FF3">
              <w:t>286,429</w:t>
            </w:r>
          </w:p>
        </w:tc>
        <w:tc>
          <w:tcPr>
            <w:tcW w:w="3480" w:type="dxa"/>
            <w:tcBorders>
              <w:top w:val="single" w:sz="4" w:space="0" w:color="95B3D7"/>
              <w:left w:val="nil"/>
              <w:bottom w:val="single" w:sz="4" w:space="0" w:color="95B3D7"/>
              <w:right w:val="single" w:sz="4" w:space="0" w:color="95B3D7"/>
            </w:tcBorders>
            <w:noWrap/>
            <w:hideMark/>
          </w:tcPr>
          <w:p w14:paraId="21A02F8A" w14:textId="77D78CCC" w:rsidR="004B1E13" w:rsidRPr="001146F7" w:rsidRDefault="004B1E13" w:rsidP="004B1E13">
            <w:pPr>
              <w:keepNext/>
              <w:spacing w:after="0" w:line="240" w:lineRule="auto"/>
              <w:jc w:val="center"/>
              <w:rPr>
                <w:rFonts w:ascii="Tahoma" w:eastAsia="Times New Roman" w:hAnsi="Tahoma" w:cs="Tahoma"/>
                <w:color w:val="000000"/>
                <w:sz w:val="20"/>
                <w:szCs w:val="20"/>
                <w:lang w:eastAsia="pl-PL"/>
              </w:rPr>
            </w:pPr>
            <w:r w:rsidRPr="003E6FF3">
              <w:t>3</w:t>
            </w:r>
          </w:p>
        </w:tc>
      </w:tr>
      <w:tr w:rsidR="004B1E13" w:rsidRPr="001146F7" w14:paraId="070FFE8B" w14:textId="77777777" w:rsidTr="009648D7">
        <w:trPr>
          <w:trHeight w:val="255"/>
        </w:trPr>
        <w:tc>
          <w:tcPr>
            <w:tcW w:w="2300" w:type="dxa"/>
            <w:tcBorders>
              <w:top w:val="single" w:sz="4" w:space="0" w:color="95B3D7"/>
              <w:left w:val="single" w:sz="4" w:space="0" w:color="95B3D7"/>
              <w:bottom w:val="single" w:sz="4" w:space="0" w:color="95B3D7"/>
              <w:right w:val="nil"/>
            </w:tcBorders>
            <w:shd w:val="clear" w:color="DCE6F1" w:fill="DCE6F1"/>
            <w:noWrap/>
            <w:vAlign w:val="bottom"/>
            <w:hideMark/>
          </w:tcPr>
          <w:p w14:paraId="281EF3F2" w14:textId="77777777" w:rsidR="004B1E13" w:rsidRPr="001146F7" w:rsidRDefault="004B1E13" w:rsidP="004B1E13">
            <w:pPr>
              <w:keepNext/>
              <w:spacing w:after="0" w:line="240" w:lineRule="auto"/>
              <w:jc w:val="center"/>
              <w:rPr>
                <w:rFonts w:ascii="Tahoma" w:eastAsia="Times New Roman" w:hAnsi="Tahoma" w:cs="Tahoma"/>
                <w:color w:val="000000"/>
                <w:sz w:val="20"/>
                <w:szCs w:val="20"/>
                <w:lang w:eastAsia="pl-PL"/>
              </w:rPr>
            </w:pPr>
            <w:r w:rsidRPr="001146F7">
              <w:rPr>
                <w:rFonts w:ascii="Tahoma" w:eastAsia="Times New Roman" w:hAnsi="Tahoma" w:cs="Tahoma"/>
                <w:color w:val="000000"/>
                <w:sz w:val="20"/>
                <w:szCs w:val="20"/>
                <w:lang w:eastAsia="pl-PL"/>
              </w:rPr>
              <w:t>7</w:t>
            </w:r>
          </w:p>
        </w:tc>
        <w:tc>
          <w:tcPr>
            <w:tcW w:w="3620" w:type="dxa"/>
            <w:tcBorders>
              <w:top w:val="single" w:sz="4" w:space="0" w:color="95B3D7"/>
              <w:left w:val="nil"/>
              <w:bottom w:val="single" w:sz="4" w:space="0" w:color="95B3D7"/>
              <w:right w:val="nil"/>
            </w:tcBorders>
            <w:shd w:val="clear" w:color="DCE6F1" w:fill="DCE6F1"/>
            <w:noWrap/>
            <w:hideMark/>
          </w:tcPr>
          <w:p w14:paraId="46814E46" w14:textId="1F574EA4" w:rsidR="004B1E13" w:rsidRPr="001146F7" w:rsidRDefault="004B1E13" w:rsidP="004B1E13">
            <w:pPr>
              <w:keepNext/>
              <w:spacing w:after="0" w:line="240" w:lineRule="auto"/>
              <w:jc w:val="center"/>
              <w:rPr>
                <w:rFonts w:ascii="Tahoma" w:eastAsia="Times New Roman" w:hAnsi="Tahoma" w:cs="Tahoma"/>
                <w:color w:val="000000"/>
                <w:sz w:val="20"/>
                <w:szCs w:val="20"/>
                <w:lang w:eastAsia="pl-PL"/>
              </w:rPr>
            </w:pPr>
            <w:r w:rsidRPr="003E6FF3">
              <w:t>1,85% — 4,34%</w:t>
            </w:r>
          </w:p>
        </w:tc>
        <w:tc>
          <w:tcPr>
            <w:tcW w:w="3020" w:type="dxa"/>
            <w:tcBorders>
              <w:top w:val="single" w:sz="4" w:space="0" w:color="95B3D7"/>
              <w:left w:val="nil"/>
              <w:bottom w:val="single" w:sz="4" w:space="0" w:color="95B3D7"/>
              <w:right w:val="nil"/>
            </w:tcBorders>
            <w:shd w:val="clear" w:color="DCE6F1" w:fill="DCE6F1"/>
            <w:noWrap/>
            <w:hideMark/>
          </w:tcPr>
          <w:p w14:paraId="69A4B895" w14:textId="44317DA5" w:rsidR="004B1E13" w:rsidRPr="001146F7" w:rsidRDefault="004B1E13" w:rsidP="004B1E13">
            <w:pPr>
              <w:keepNext/>
              <w:spacing w:after="0" w:line="240" w:lineRule="auto"/>
              <w:jc w:val="center"/>
              <w:rPr>
                <w:rFonts w:ascii="Tahoma" w:eastAsia="Times New Roman" w:hAnsi="Tahoma" w:cs="Tahoma"/>
                <w:color w:val="000000"/>
                <w:sz w:val="20"/>
                <w:szCs w:val="20"/>
                <w:lang w:eastAsia="pl-PL"/>
              </w:rPr>
            </w:pPr>
            <w:r w:rsidRPr="003E6FF3">
              <w:t>143,714</w:t>
            </w:r>
          </w:p>
        </w:tc>
        <w:tc>
          <w:tcPr>
            <w:tcW w:w="3480" w:type="dxa"/>
            <w:tcBorders>
              <w:top w:val="single" w:sz="4" w:space="0" w:color="95B3D7"/>
              <w:left w:val="nil"/>
              <w:bottom w:val="single" w:sz="4" w:space="0" w:color="95B3D7"/>
              <w:right w:val="single" w:sz="4" w:space="0" w:color="95B3D7"/>
            </w:tcBorders>
            <w:shd w:val="clear" w:color="DCE6F1" w:fill="DCE6F1"/>
            <w:noWrap/>
            <w:hideMark/>
          </w:tcPr>
          <w:p w14:paraId="6F4A0E35" w14:textId="6099AF6A" w:rsidR="004B1E13" w:rsidRPr="001146F7" w:rsidRDefault="004B1E13" w:rsidP="004B1E13">
            <w:pPr>
              <w:keepNext/>
              <w:spacing w:after="0" w:line="240" w:lineRule="auto"/>
              <w:jc w:val="center"/>
              <w:rPr>
                <w:rFonts w:ascii="Tahoma" w:eastAsia="Times New Roman" w:hAnsi="Tahoma" w:cs="Tahoma"/>
                <w:color w:val="000000"/>
                <w:sz w:val="20"/>
                <w:szCs w:val="20"/>
                <w:lang w:eastAsia="pl-PL"/>
              </w:rPr>
            </w:pPr>
            <w:r w:rsidRPr="003E6FF3">
              <w:t>3</w:t>
            </w:r>
          </w:p>
        </w:tc>
      </w:tr>
      <w:tr w:rsidR="004B1E13" w:rsidRPr="001146F7" w14:paraId="4BA9AE74" w14:textId="77777777" w:rsidTr="009648D7">
        <w:trPr>
          <w:trHeight w:val="255"/>
        </w:trPr>
        <w:tc>
          <w:tcPr>
            <w:tcW w:w="2300" w:type="dxa"/>
            <w:tcBorders>
              <w:top w:val="single" w:sz="4" w:space="0" w:color="95B3D7"/>
              <w:left w:val="single" w:sz="4" w:space="0" w:color="95B3D7"/>
              <w:bottom w:val="single" w:sz="4" w:space="0" w:color="95B3D7"/>
              <w:right w:val="nil"/>
            </w:tcBorders>
            <w:noWrap/>
            <w:vAlign w:val="bottom"/>
            <w:hideMark/>
          </w:tcPr>
          <w:p w14:paraId="0BA4D492" w14:textId="77777777" w:rsidR="004B1E13" w:rsidRPr="001146F7" w:rsidRDefault="004B1E13" w:rsidP="004B1E13">
            <w:pPr>
              <w:spacing w:after="0" w:line="240" w:lineRule="auto"/>
              <w:jc w:val="center"/>
              <w:rPr>
                <w:rFonts w:ascii="Tahoma" w:eastAsia="Times New Roman" w:hAnsi="Tahoma" w:cs="Tahoma"/>
                <w:color w:val="000000"/>
                <w:sz w:val="20"/>
                <w:szCs w:val="20"/>
                <w:lang w:eastAsia="pl-PL"/>
              </w:rPr>
            </w:pPr>
            <w:r w:rsidRPr="001146F7">
              <w:rPr>
                <w:rFonts w:ascii="Tahoma" w:eastAsia="Times New Roman" w:hAnsi="Tahoma" w:cs="Tahoma"/>
                <w:color w:val="000000"/>
                <w:sz w:val="20"/>
                <w:szCs w:val="20"/>
                <w:lang w:eastAsia="pl-PL"/>
              </w:rPr>
              <w:t>8</w:t>
            </w:r>
          </w:p>
        </w:tc>
        <w:tc>
          <w:tcPr>
            <w:tcW w:w="3620" w:type="dxa"/>
            <w:tcBorders>
              <w:top w:val="single" w:sz="4" w:space="0" w:color="95B3D7"/>
              <w:left w:val="nil"/>
              <w:bottom w:val="single" w:sz="4" w:space="0" w:color="95B3D7"/>
              <w:right w:val="nil"/>
            </w:tcBorders>
            <w:noWrap/>
            <w:hideMark/>
          </w:tcPr>
          <w:p w14:paraId="4D7B8FBF" w14:textId="1D12A42C" w:rsidR="004B1E13" w:rsidRPr="001146F7" w:rsidRDefault="004B1E13" w:rsidP="004B1E13">
            <w:pPr>
              <w:spacing w:after="0" w:line="240" w:lineRule="auto"/>
              <w:jc w:val="center"/>
              <w:rPr>
                <w:rFonts w:ascii="Tahoma" w:eastAsia="Times New Roman" w:hAnsi="Tahoma" w:cs="Tahoma"/>
                <w:color w:val="000000"/>
                <w:sz w:val="20"/>
                <w:szCs w:val="20"/>
                <w:lang w:eastAsia="pl-PL"/>
              </w:rPr>
            </w:pPr>
            <w:r w:rsidRPr="003E6FF3">
              <w:t xml:space="preserve">4,34% — </w:t>
            </w:r>
          </w:p>
        </w:tc>
        <w:tc>
          <w:tcPr>
            <w:tcW w:w="3020" w:type="dxa"/>
            <w:tcBorders>
              <w:top w:val="single" w:sz="4" w:space="0" w:color="95B3D7"/>
              <w:left w:val="nil"/>
              <w:bottom w:val="single" w:sz="4" w:space="0" w:color="95B3D7"/>
              <w:right w:val="nil"/>
            </w:tcBorders>
            <w:noWrap/>
            <w:hideMark/>
          </w:tcPr>
          <w:p w14:paraId="184680C2" w14:textId="43833D51" w:rsidR="004B1E13" w:rsidRPr="001146F7" w:rsidRDefault="004B1E13" w:rsidP="004B1E13">
            <w:pPr>
              <w:spacing w:after="0" w:line="240" w:lineRule="auto"/>
              <w:jc w:val="center"/>
              <w:rPr>
                <w:rFonts w:ascii="Tahoma" w:eastAsia="Times New Roman" w:hAnsi="Tahoma" w:cs="Tahoma"/>
                <w:color w:val="000000"/>
                <w:sz w:val="20"/>
                <w:szCs w:val="20"/>
                <w:lang w:eastAsia="pl-PL"/>
              </w:rPr>
            </w:pPr>
            <w:r w:rsidRPr="003E6FF3">
              <w:t>1</w:t>
            </w:r>
          </w:p>
        </w:tc>
        <w:tc>
          <w:tcPr>
            <w:tcW w:w="3480" w:type="dxa"/>
            <w:tcBorders>
              <w:top w:val="single" w:sz="4" w:space="0" w:color="95B3D7"/>
              <w:left w:val="nil"/>
              <w:bottom w:val="single" w:sz="4" w:space="0" w:color="95B3D7"/>
              <w:right w:val="single" w:sz="4" w:space="0" w:color="95B3D7"/>
            </w:tcBorders>
            <w:noWrap/>
            <w:hideMark/>
          </w:tcPr>
          <w:p w14:paraId="63C65B4E" w14:textId="0ECA730A" w:rsidR="004B1E13" w:rsidRPr="001146F7" w:rsidRDefault="004B1E13" w:rsidP="004B1E13">
            <w:pPr>
              <w:spacing w:after="0" w:line="240" w:lineRule="auto"/>
              <w:jc w:val="center"/>
              <w:rPr>
                <w:rFonts w:ascii="Tahoma" w:eastAsia="Times New Roman" w:hAnsi="Tahoma" w:cs="Tahoma"/>
                <w:color w:val="000000"/>
                <w:sz w:val="20"/>
                <w:szCs w:val="20"/>
                <w:lang w:eastAsia="pl-PL"/>
              </w:rPr>
            </w:pPr>
            <w:r w:rsidRPr="003E6FF3">
              <w:t>3</w:t>
            </w:r>
          </w:p>
        </w:tc>
      </w:tr>
    </w:tbl>
    <w:p w14:paraId="73C4C5E8" w14:textId="77777777" w:rsidR="001146F7" w:rsidRDefault="001146F7" w:rsidP="00A730BE">
      <w:pPr>
        <w:rPr>
          <w:rFonts w:cstheme="minorHAnsi"/>
        </w:rPr>
      </w:pPr>
    </w:p>
    <w:p w14:paraId="10F58F43" w14:textId="54E5F4ED" w:rsidR="00E56507" w:rsidRPr="00187094" w:rsidRDefault="00E56507" w:rsidP="00A730BE">
      <w:pPr>
        <w:rPr>
          <w:rFonts w:cstheme="minorHAnsi"/>
        </w:rPr>
      </w:pPr>
    </w:p>
    <w:sectPr w:rsidR="00E56507" w:rsidRPr="00187094" w:rsidSect="00F3347C">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FE12B0"/>
    <w:multiLevelType w:val="hybridMultilevel"/>
    <w:tmpl w:val="01EC340C"/>
    <w:lvl w:ilvl="0" w:tplc="154A1280">
      <w:start w:val="705"/>
      <w:numFmt w:val="bullet"/>
      <w:lvlText w:val=""/>
      <w:lvlJc w:val="left"/>
      <w:pPr>
        <w:ind w:left="720" w:hanging="360"/>
      </w:pPr>
      <w:rPr>
        <w:rFonts w:ascii="Symbol" w:eastAsia="Times New Roman" w:hAnsi="Symbol" w:cstheme="minorHAns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30BB2E38"/>
    <w:multiLevelType w:val="multilevel"/>
    <w:tmpl w:val="94D65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9439735">
    <w:abstractNumId w:val="1"/>
  </w:num>
  <w:num w:numId="2" w16cid:durableId="2132162952">
    <w:abstractNumId w:val="1"/>
  </w:num>
  <w:num w:numId="3" w16cid:durableId="15581235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887"/>
    <w:rsid w:val="00004E92"/>
    <w:rsid w:val="00024C5F"/>
    <w:rsid w:val="00035F52"/>
    <w:rsid w:val="0004660E"/>
    <w:rsid w:val="00064512"/>
    <w:rsid w:val="0008314E"/>
    <w:rsid w:val="0008547E"/>
    <w:rsid w:val="00085838"/>
    <w:rsid w:val="000C4053"/>
    <w:rsid w:val="000D5A93"/>
    <w:rsid w:val="000E13E4"/>
    <w:rsid w:val="000E2ABB"/>
    <w:rsid w:val="000F1DBB"/>
    <w:rsid w:val="00100699"/>
    <w:rsid w:val="00101714"/>
    <w:rsid w:val="00105576"/>
    <w:rsid w:val="00112261"/>
    <w:rsid w:val="001146F7"/>
    <w:rsid w:val="00114939"/>
    <w:rsid w:val="001235DC"/>
    <w:rsid w:val="00125FFA"/>
    <w:rsid w:val="001337A1"/>
    <w:rsid w:val="00170736"/>
    <w:rsid w:val="00174E47"/>
    <w:rsid w:val="00187094"/>
    <w:rsid w:val="00193E78"/>
    <w:rsid w:val="00194A41"/>
    <w:rsid w:val="001977D6"/>
    <w:rsid w:val="001A2290"/>
    <w:rsid w:val="001A3657"/>
    <w:rsid w:val="001B2928"/>
    <w:rsid w:val="001C095E"/>
    <w:rsid w:val="001C1B72"/>
    <w:rsid w:val="001C6253"/>
    <w:rsid w:val="001D30DB"/>
    <w:rsid w:val="001F1FD9"/>
    <w:rsid w:val="001F6BC2"/>
    <w:rsid w:val="001F7959"/>
    <w:rsid w:val="002206A4"/>
    <w:rsid w:val="00240D41"/>
    <w:rsid w:val="002435FD"/>
    <w:rsid w:val="00243C89"/>
    <w:rsid w:val="00244D55"/>
    <w:rsid w:val="002473E0"/>
    <w:rsid w:val="0025472C"/>
    <w:rsid w:val="00260156"/>
    <w:rsid w:val="002806C9"/>
    <w:rsid w:val="00291086"/>
    <w:rsid w:val="002A0747"/>
    <w:rsid w:val="002A4235"/>
    <w:rsid w:val="002C77BA"/>
    <w:rsid w:val="002D26A1"/>
    <w:rsid w:val="002E21E9"/>
    <w:rsid w:val="002F6468"/>
    <w:rsid w:val="00302601"/>
    <w:rsid w:val="003173C2"/>
    <w:rsid w:val="00323DBA"/>
    <w:rsid w:val="003248C2"/>
    <w:rsid w:val="0032540A"/>
    <w:rsid w:val="00326CCC"/>
    <w:rsid w:val="003279EE"/>
    <w:rsid w:val="003312D1"/>
    <w:rsid w:val="003402D3"/>
    <w:rsid w:val="0036055F"/>
    <w:rsid w:val="0037742B"/>
    <w:rsid w:val="003834C3"/>
    <w:rsid w:val="00383585"/>
    <w:rsid w:val="003B4416"/>
    <w:rsid w:val="003B6732"/>
    <w:rsid w:val="003B7887"/>
    <w:rsid w:val="003C438C"/>
    <w:rsid w:val="003D71CB"/>
    <w:rsid w:val="003F361E"/>
    <w:rsid w:val="00404746"/>
    <w:rsid w:val="00407123"/>
    <w:rsid w:val="0041461F"/>
    <w:rsid w:val="0041582D"/>
    <w:rsid w:val="004173AB"/>
    <w:rsid w:val="004202DE"/>
    <w:rsid w:val="0042240E"/>
    <w:rsid w:val="00424900"/>
    <w:rsid w:val="00426639"/>
    <w:rsid w:val="00426A66"/>
    <w:rsid w:val="00442710"/>
    <w:rsid w:val="00450D90"/>
    <w:rsid w:val="0046103F"/>
    <w:rsid w:val="00472B5C"/>
    <w:rsid w:val="00476B39"/>
    <w:rsid w:val="00484B7C"/>
    <w:rsid w:val="004A6338"/>
    <w:rsid w:val="004B1E13"/>
    <w:rsid w:val="004D2246"/>
    <w:rsid w:val="004F4C95"/>
    <w:rsid w:val="004F65A8"/>
    <w:rsid w:val="005073C2"/>
    <w:rsid w:val="00511185"/>
    <w:rsid w:val="005275D7"/>
    <w:rsid w:val="0053756E"/>
    <w:rsid w:val="005762C2"/>
    <w:rsid w:val="00580272"/>
    <w:rsid w:val="005A47DD"/>
    <w:rsid w:val="005A545B"/>
    <w:rsid w:val="005B197A"/>
    <w:rsid w:val="00603766"/>
    <w:rsid w:val="0061122F"/>
    <w:rsid w:val="00623451"/>
    <w:rsid w:val="00636ACE"/>
    <w:rsid w:val="00636D4B"/>
    <w:rsid w:val="006453CA"/>
    <w:rsid w:val="00654BF8"/>
    <w:rsid w:val="0065736D"/>
    <w:rsid w:val="0065785C"/>
    <w:rsid w:val="00666EC2"/>
    <w:rsid w:val="00677905"/>
    <w:rsid w:val="00681274"/>
    <w:rsid w:val="0068249D"/>
    <w:rsid w:val="006A0C1B"/>
    <w:rsid w:val="006C1165"/>
    <w:rsid w:val="006C1D2C"/>
    <w:rsid w:val="006D7071"/>
    <w:rsid w:val="006E6336"/>
    <w:rsid w:val="006F2B10"/>
    <w:rsid w:val="006F341E"/>
    <w:rsid w:val="006F59B3"/>
    <w:rsid w:val="006F5BEF"/>
    <w:rsid w:val="00714D14"/>
    <w:rsid w:val="00750630"/>
    <w:rsid w:val="00750918"/>
    <w:rsid w:val="0078717E"/>
    <w:rsid w:val="00796F21"/>
    <w:rsid w:val="007B6780"/>
    <w:rsid w:val="007C44E5"/>
    <w:rsid w:val="007D1396"/>
    <w:rsid w:val="007D7A84"/>
    <w:rsid w:val="007E40C5"/>
    <w:rsid w:val="007F6E9A"/>
    <w:rsid w:val="00816148"/>
    <w:rsid w:val="00830387"/>
    <w:rsid w:val="00832553"/>
    <w:rsid w:val="00845251"/>
    <w:rsid w:val="0085050C"/>
    <w:rsid w:val="00864DF3"/>
    <w:rsid w:val="00870081"/>
    <w:rsid w:val="008731AA"/>
    <w:rsid w:val="00893536"/>
    <w:rsid w:val="00895F4A"/>
    <w:rsid w:val="008A07CF"/>
    <w:rsid w:val="008C540B"/>
    <w:rsid w:val="008D069E"/>
    <w:rsid w:val="008D3591"/>
    <w:rsid w:val="008D3AA9"/>
    <w:rsid w:val="008F6BB8"/>
    <w:rsid w:val="00914C61"/>
    <w:rsid w:val="00931176"/>
    <w:rsid w:val="009654F2"/>
    <w:rsid w:val="00973703"/>
    <w:rsid w:val="00977AC9"/>
    <w:rsid w:val="00987207"/>
    <w:rsid w:val="0099033D"/>
    <w:rsid w:val="009914DF"/>
    <w:rsid w:val="00996098"/>
    <w:rsid w:val="009967AF"/>
    <w:rsid w:val="009A40BC"/>
    <w:rsid w:val="009A464B"/>
    <w:rsid w:val="009D5D96"/>
    <w:rsid w:val="009D7561"/>
    <w:rsid w:val="00A027C6"/>
    <w:rsid w:val="00A12DC5"/>
    <w:rsid w:val="00A150B5"/>
    <w:rsid w:val="00A167D6"/>
    <w:rsid w:val="00A208F5"/>
    <w:rsid w:val="00A26120"/>
    <w:rsid w:val="00A35294"/>
    <w:rsid w:val="00A45DB0"/>
    <w:rsid w:val="00A5433E"/>
    <w:rsid w:val="00A57B4C"/>
    <w:rsid w:val="00A6146B"/>
    <w:rsid w:val="00A6394F"/>
    <w:rsid w:val="00A66C26"/>
    <w:rsid w:val="00A72D66"/>
    <w:rsid w:val="00A730BE"/>
    <w:rsid w:val="00A7392A"/>
    <w:rsid w:val="00A855E1"/>
    <w:rsid w:val="00A94FE6"/>
    <w:rsid w:val="00AE73EC"/>
    <w:rsid w:val="00AF25B7"/>
    <w:rsid w:val="00B16A30"/>
    <w:rsid w:val="00B3579A"/>
    <w:rsid w:val="00B468B2"/>
    <w:rsid w:val="00B66B00"/>
    <w:rsid w:val="00B918DD"/>
    <w:rsid w:val="00B96086"/>
    <w:rsid w:val="00BA2162"/>
    <w:rsid w:val="00BA4460"/>
    <w:rsid w:val="00BC23F8"/>
    <w:rsid w:val="00BF48EB"/>
    <w:rsid w:val="00BF4C76"/>
    <w:rsid w:val="00C23FE1"/>
    <w:rsid w:val="00C37C03"/>
    <w:rsid w:val="00C53769"/>
    <w:rsid w:val="00C605F7"/>
    <w:rsid w:val="00C70084"/>
    <w:rsid w:val="00C74693"/>
    <w:rsid w:val="00C75DD7"/>
    <w:rsid w:val="00C83ACC"/>
    <w:rsid w:val="00C94304"/>
    <w:rsid w:val="00C96D6D"/>
    <w:rsid w:val="00CA0A81"/>
    <w:rsid w:val="00CA0E0A"/>
    <w:rsid w:val="00CA4C04"/>
    <w:rsid w:val="00CA4C47"/>
    <w:rsid w:val="00CB356B"/>
    <w:rsid w:val="00CC2887"/>
    <w:rsid w:val="00CD15C3"/>
    <w:rsid w:val="00D02391"/>
    <w:rsid w:val="00D212B2"/>
    <w:rsid w:val="00D336EB"/>
    <w:rsid w:val="00D457FC"/>
    <w:rsid w:val="00D6502A"/>
    <w:rsid w:val="00D6607E"/>
    <w:rsid w:val="00D86D51"/>
    <w:rsid w:val="00DA572D"/>
    <w:rsid w:val="00DA5B9A"/>
    <w:rsid w:val="00DA797D"/>
    <w:rsid w:val="00DB3BFD"/>
    <w:rsid w:val="00DB7099"/>
    <w:rsid w:val="00DB7119"/>
    <w:rsid w:val="00DB7F13"/>
    <w:rsid w:val="00DF5077"/>
    <w:rsid w:val="00E0399D"/>
    <w:rsid w:val="00E14731"/>
    <w:rsid w:val="00E16AD5"/>
    <w:rsid w:val="00E2106B"/>
    <w:rsid w:val="00E25134"/>
    <w:rsid w:val="00E33BF5"/>
    <w:rsid w:val="00E341AA"/>
    <w:rsid w:val="00E42BF4"/>
    <w:rsid w:val="00E43A1A"/>
    <w:rsid w:val="00E43AD1"/>
    <w:rsid w:val="00E56507"/>
    <w:rsid w:val="00E654BB"/>
    <w:rsid w:val="00E65F46"/>
    <w:rsid w:val="00E735FC"/>
    <w:rsid w:val="00E9582E"/>
    <w:rsid w:val="00E95DA8"/>
    <w:rsid w:val="00E969A4"/>
    <w:rsid w:val="00EA4681"/>
    <w:rsid w:val="00EB219B"/>
    <w:rsid w:val="00EC2007"/>
    <w:rsid w:val="00ED70B8"/>
    <w:rsid w:val="00EE7069"/>
    <w:rsid w:val="00EF0FFF"/>
    <w:rsid w:val="00F05C5C"/>
    <w:rsid w:val="00F100EC"/>
    <w:rsid w:val="00F1152F"/>
    <w:rsid w:val="00F248FC"/>
    <w:rsid w:val="00F25B02"/>
    <w:rsid w:val="00F26615"/>
    <w:rsid w:val="00F3347C"/>
    <w:rsid w:val="00F57746"/>
    <w:rsid w:val="00F70792"/>
    <w:rsid w:val="00F81900"/>
    <w:rsid w:val="00F861BE"/>
    <w:rsid w:val="00F86AEF"/>
    <w:rsid w:val="00FA3BC4"/>
    <w:rsid w:val="00FA4D1A"/>
    <w:rsid w:val="00FA4D89"/>
    <w:rsid w:val="00FB595E"/>
    <w:rsid w:val="00FC3B21"/>
    <w:rsid w:val="00FC448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43C48"/>
  <w15:chartTrackingRefBased/>
  <w15:docId w15:val="{B01668E9-8765-4CAE-9440-E99BF608E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link w:val="Nagwek1Znak"/>
    <w:uiPriority w:val="9"/>
    <w:qFormat/>
    <w:rsid w:val="00F3347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paragraph" w:styleId="Nagwek2">
    <w:name w:val="heading 2"/>
    <w:basedOn w:val="Normalny"/>
    <w:next w:val="Normalny"/>
    <w:link w:val="Nagwek2Znak"/>
    <w:uiPriority w:val="9"/>
    <w:unhideWhenUsed/>
    <w:qFormat/>
    <w:rsid w:val="00F100E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gwek4">
    <w:name w:val="heading 4"/>
    <w:basedOn w:val="Normalny"/>
    <w:link w:val="Nagwek4Znak"/>
    <w:uiPriority w:val="9"/>
    <w:qFormat/>
    <w:rsid w:val="00F3347C"/>
    <w:pPr>
      <w:spacing w:before="100" w:beforeAutospacing="1" w:after="100" w:afterAutospacing="1" w:line="240" w:lineRule="auto"/>
      <w:outlineLvl w:val="3"/>
    </w:pPr>
    <w:rPr>
      <w:rFonts w:ascii="Times New Roman" w:eastAsia="Times New Roman" w:hAnsi="Times New Roman" w:cs="Times New Roman"/>
      <w:b/>
      <w:b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3347C"/>
    <w:rPr>
      <w:rFonts w:ascii="Times New Roman" w:eastAsia="Times New Roman" w:hAnsi="Times New Roman" w:cs="Times New Roman"/>
      <w:b/>
      <w:bCs/>
      <w:kern w:val="36"/>
      <w:sz w:val="48"/>
      <w:szCs w:val="48"/>
      <w:lang w:eastAsia="pl-PL"/>
    </w:rPr>
  </w:style>
  <w:style w:type="character" w:customStyle="1" w:styleId="Nagwek4Znak">
    <w:name w:val="Nagłówek 4 Znak"/>
    <w:basedOn w:val="Domylnaczcionkaakapitu"/>
    <w:link w:val="Nagwek4"/>
    <w:uiPriority w:val="9"/>
    <w:rsid w:val="00F3347C"/>
    <w:rPr>
      <w:rFonts w:ascii="Times New Roman" w:eastAsia="Times New Roman" w:hAnsi="Times New Roman" w:cs="Times New Roman"/>
      <w:b/>
      <w:bCs/>
      <w:sz w:val="24"/>
      <w:szCs w:val="24"/>
      <w:lang w:eastAsia="pl-PL"/>
    </w:rPr>
  </w:style>
  <w:style w:type="character" w:customStyle="1" w:styleId="date-wrap">
    <w:name w:val="date-wrap"/>
    <w:basedOn w:val="Domylnaczcionkaakapitu"/>
    <w:rsid w:val="00F3347C"/>
  </w:style>
  <w:style w:type="character" w:customStyle="1" w:styleId="Data1">
    <w:name w:val="Data1"/>
    <w:basedOn w:val="Domylnaczcionkaakapitu"/>
    <w:rsid w:val="00F3347C"/>
  </w:style>
  <w:style w:type="character" w:customStyle="1" w:styleId="separator">
    <w:name w:val="separator"/>
    <w:basedOn w:val="Domylnaczcionkaakapitu"/>
    <w:rsid w:val="00F3347C"/>
  </w:style>
  <w:style w:type="paragraph" w:styleId="NormalnyWeb">
    <w:name w:val="Normal (Web)"/>
    <w:basedOn w:val="Normalny"/>
    <w:uiPriority w:val="99"/>
    <w:semiHidden/>
    <w:unhideWhenUsed/>
    <w:rsid w:val="00F3347C"/>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F3347C"/>
    <w:rPr>
      <w:b/>
      <w:bCs/>
    </w:rPr>
  </w:style>
  <w:style w:type="character" w:customStyle="1" w:styleId="Nagwek2Znak">
    <w:name w:val="Nagłówek 2 Znak"/>
    <w:basedOn w:val="Domylnaczcionkaakapitu"/>
    <w:link w:val="Nagwek2"/>
    <w:uiPriority w:val="9"/>
    <w:rsid w:val="00F100EC"/>
    <w:rPr>
      <w:rFonts w:asciiTheme="majorHAnsi" w:eastAsiaTheme="majorEastAsia" w:hAnsiTheme="majorHAnsi" w:cstheme="majorBidi"/>
      <w:color w:val="365F91" w:themeColor="accent1" w:themeShade="BF"/>
      <w:sz w:val="26"/>
      <w:szCs w:val="26"/>
    </w:rPr>
  </w:style>
  <w:style w:type="table" w:styleId="Tabelalisty4akcent1">
    <w:name w:val="List Table 4 Accent 1"/>
    <w:basedOn w:val="Standardowy"/>
    <w:uiPriority w:val="49"/>
    <w:rsid w:val="009D7561"/>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Akapitzlist">
    <w:name w:val="List Paragraph"/>
    <w:basedOn w:val="Normalny"/>
    <w:uiPriority w:val="34"/>
    <w:qFormat/>
    <w:rsid w:val="00A35294"/>
    <w:pPr>
      <w:ind w:left="720"/>
      <w:contextualSpacing/>
    </w:pPr>
  </w:style>
  <w:style w:type="table" w:styleId="Tabelasiatki4akcent1">
    <w:name w:val="Grid Table 4 Accent 1"/>
    <w:basedOn w:val="Standardowy"/>
    <w:uiPriority w:val="49"/>
    <w:rsid w:val="00636D4B"/>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Tekstdymka">
    <w:name w:val="Balloon Text"/>
    <w:basedOn w:val="Normalny"/>
    <w:link w:val="TekstdymkaZnak"/>
    <w:uiPriority w:val="99"/>
    <w:semiHidden/>
    <w:unhideWhenUsed/>
    <w:rsid w:val="000D5A9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D5A93"/>
    <w:rPr>
      <w:rFonts w:ascii="Segoe UI" w:hAnsi="Segoe UI" w:cs="Segoe UI"/>
      <w:sz w:val="18"/>
      <w:szCs w:val="18"/>
    </w:rPr>
  </w:style>
  <w:style w:type="table" w:styleId="Tabela-Siatka">
    <w:name w:val="Table Grid"/>
    <w:basedOn w:val="Standardowy"/>
    <w:uiPriority w:val="59"/>
    <w:rsid w:val="00895F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291086"/>
    <w:rPr>
      <w:sz w:val="16"/>
      <w:szCs w:val="16"/>
    </w:rPr>
  </w:style>
  <w:style w:type="paragraph" w:styleId="Tekstkomentarza">
    <w:name w:val="annotation text"/>
    <w:basedOn w:val="Normalny"/>
    <w:link w:val="TekstkomentarzaZnak"/>
    <w:uiPriority w:val="99"/>
    <w:unhideWhenUsed/>
    <w:rsid w:val="00291086"/>
    <w:pPr>
      <w:spacing w:line="240" w:lineRule="auto"/>
    </w:pPr>
    <w:rPr>
      <w:sz w:val="20"/>
      <w:szCs w:val="20"/>
    </w:rPr>
  </w:style>
  <w:style w:type="character" w:customStyle="1" w:styleId="TekstkomentarzaZnak">
    <w:name w:val="Tekst komentarza Znak"/>
    <w:basedOn w:val="Domylnaczcionkaakapitu"/>
    <w:link w:val="Tekstkomentarza"/>
    <w:uiPriority w:val="99"/>
    <w:rsid w:val="00291086"/>
    <w:rPr>
      <w:sz w:val="20"/>
      <w:szCs w:val="20"/>
    </w:rPr>
  </w:style>
  <w:style w:type="paragraph" w:styleId="Tematkomentarza">
    <w:name w:val="annotation subject"/>
    <w:basedOn w:val="Tekstkomentarza"/>
    <w:next w:val="Tekstkomentarza"/>
    <w:link w:val="TematkomentarzaZnak"/>
    <w:uiPriority w:val="99"/>
    <w:semiHidden/>
    <w:unhideWhenUsed/>
    <w:rsid w:val="00291086"/>
    <w:rPr>
      <w:b/>
      <w:bCs/>
    </w:rPr>
  </w:style>
  <w:style w:type="character" w:customStyle="1" w:styleId="TematkomentarzaZnak">
    <w:name w:val="Temat komentarza Znak"/>
    <w:basedOn w:val="TekstkomentarzaZnak"/>
    <w:link w:val="Tematkomentarza"/>
    <w:uiPriority w:val="99"/>
    <w:semiHidden/>
    <w:rsid w:val="00291086"/>
    <w:rPr>
      <w:b/>
      <w:bCs/>
      <w:sz w:val="20"/>
      <w:szCs w:val="20"/>
    </w:rPr>
  </w:style>
  <w:style w:type="paragraph" w:styleId="Poprawka">
    <w:name w:val="Revision"/>
    <w:hidden/>
    <w:uiPriority w:val="99"/>
    <w:semiHidden/>
    <w:rsid w:val="00A45DB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67342">
      <w:bodyDiv w:val="1"/>
      <w:marLeft w:val="0"/>
      <w:marRight w:val="0"/>
      <w:marTop w:val="0"/>
      <w:marBottom w:val="0"/>
      <w:divBdr>
        <w:top w:val="none" w:sz="0" w:space="0" w:color="auto"/>
        <w:left w:val="none" w:sz="0" w:space="0" w:color="auto"/>
        <w:bottom w:val="none" w:sz="0" w:space="0" w:color="auto"/>
        <w:right w:val="none" w:sz="0" w:space="0" w:color="auto"/>
      </w:divBdr>
    </w:div>
    <w:div w:id="62149004">
      <w:bodyDiv w:val="1"/>
      <w:marLeft w:val="0"/>
      <w:marRight w:val="0"/>
      <w:marTop w:val="0"/>
      <w:marBottom w:val="0"/>
      <w:divBdr>
        <w:top w:val="none" w:sz="0" w:space="0" w:color="auto"/>
        <w:left w:val="none" w:sz="0" w:space="0" w:color="auto"/>
        <w:bottom w:val="none" w:sz="0" w:space="0" w:color="auto"/>
        <w:right w:val="none" w:sz="0" w:space="0" w:color="auto"/>
      </w:divBdr>
    </w:div>
    <w:div w:id="81537284">
      <w:bodyDiv w:val="1"/>
      <w:marLeft w:val="0"/>
      <w:marRight w:val="0"/>
      <w:marTop w:val="0"/>
      <w:marBottom w:val="0"/>
      <w:divBdr>
        <w:top w:val="none" w:sz="0" w:space="0" w:color="auto"/>
        <w:left w:val="none" w:sz="0" w:space="0" w:color="auto"/>
        <w:bottom w:val="none" w:sz="0" w:space="0" w:color="auto"/>
        <w:right w:val="none" w:sz="0" w:space="0" w:color="auto"/>
      </w:divBdr>
    </w:div>
    <w:div w:id="83035595">
      <w:bodyDiv w:val="1"/>
      <w:marLeft w:val="0"/>
      <w:marRight w:val="0"/>
      <w:marTop w:val="0"/>
      <w:marBottom w:val="0"/>
      <w:divBdr>
        <w:top w:val="none" w:sz="0" w:space="0" w:color="auto"/>
        <w:left w:val="none" w:sz="0" w:space="0" w:color="auto"/>
        <w:bottom w:val="none" w:sz="0" w:space="0" w:color="auto"/>
        <w:right w:val="none" w:sz="0" w:space="0" w:color="auto"/>
      </w:divBdr>
    </w:div>
    <w:div w:id="91244484">
      <w:bodyDiv w:val="1"/>
      <w:marLeft w:val="0"/>
      <w:marRight w:val="0"/>
      <w:marTop w:val="0"/>
      <w:marBottom w:val="0"/>
      <w:divBdr>
        <w:top w:val="none" w:sz="0" w:space="0" w:color="auto"/>
        <w:left w:val="none" w:sz="0" w:space="0" w:color="auto"/>
        <w:bottom w:val="none" w:sz="0" w:space="0" w:color="auto"/>
        <w:right w:val="none" w:sz="0" w:space="0" w:color="auto"/>
      </w:divBdr>
    </w:div>
    <w:div w:id="98113630">
      <w:bodyDiv w:val="1"/>
      <w:marLeft w:val="0"/>
      <w:marRight w:val="0"/>
      <w:marTop w:val="0"/>
      <w:marBottom w:val="0"/>
      <w:divBdr>
        <w:top w:val="none" w:sz="0" w:space="0" w:color="auto"/>
        <w:left w:val="none" w:sz="0" w:space="0" w:color="auto"/>
        <w:bottom w:val="none" w:sz="0" w:space="0" w:color="auto"/>
        <w:right w:val="none" w:sz="0" w:space="0" w:color="auto"/>
      </w:divBdr>
    </w:div>
    <w:div w:id="107049636">
      <w:bodyDiv w:val="1"/>
      <w:marLeft w:val="0"/>
      <w:marRight w:val="0"/>
      <w:marTop w:val="0"/>
      <w:marBottom w:val="0"/>
      <w:divBdr>
        <w:top w:val="none" w:sz="0" w:space="0" w:color="auto"/>
        <w:left w:val="none" w:sz="0" w:space="0" w:color="auto"/>
        <w:bottom w:val="none" w:sz="0" w:space="0" w:color="auto"/>
        <w:right w:val="none" w:sz="0" w:space="0" w:color="auto"/>
      </w:divBdr>
    </w:div>
    <w:div w:id="122312523">
      <w:bodyDiv w:val="1"/>
      <w:marLeft w:val="0"/>
      <w:marRight w:val="0"/>
      <w:marTop w:val="0"/>
      <w:marBottom w:val="0"/>
      <w:divBdr>
        <w:top w:val="none" w:sz="0" w:space="0" w:color="auto"/>
        <w:left w:val="none" w:sz="0" w:space="0" w:color="auto"/>
        <w:bottom w:val="none" w:sz="0" w:space="0" w:color="auto"/>
        <w:right w:val="none" w:sz="0" w:space="0" w:color="auto"/>
      </w:divBdr>
    </w:div>
    <w:div w:id="123084399">
      <w:bodyDiv w:val="1"/>
      <w:marLeft w:val="0"/>
      <w:marRight w:val="0"/>
      <w:marTop w:val="0"/>
      <w:marBottom w:val="0"/>
      <w:divBdr>
        <w:top w:val="none" w:sz="0" w:space="0" w:color="auto"/>
        <w:left w:val="none" w:sz="0" w:space="0" w:color="auto"/>
        <w:bottom w:val="none" w:sz="0" w:space="0" w:color="auto"/>
        <w:right w:val="none" w:sz="0" w:space="0" w:color="auto"/>
      </w:divBdr>
    </w:div>
    <w:div w:id="137649691">
      <w:bodyDiv w:val="1"/>
      <w:marLeft w:val="0"/>
      <w:marRight w:val="0"/>
      <w:marTop w:val="0"/>
      <w:marBottom w:val="0"/>
      <w:divBdr>
        <w:top w:val="none" w:sz="0" w:space="0" w:color="auto"/>
        <w:left w:val="none" w:sz="0" w:space="0" w:color="auto"/>
        <w:bottom w:val="none" w:sz="0" w:space="0" w:color="auto"/>
        <w:right w:val="none" w:sz="0" w:space="0" w:color="auto"/>
      </w:divBdr>
    </w:div>
    <w:div w:id="154996798">
      <w:bodyDiv w:val="1"/>
      <w:marLeft w:val="0"/>
      <w:marRight w:val="0"/>
      <w:marTop w:val="0"/>
      <w:marBottom w:val="0"/>
      <w:divBdr>
        <w:top w:val="none" w:sz="0" w:space="0" w:color="auto"/>
        <w:left w:val="none" w:sz="0" w:space="0" w:color="auto"/>
        <w:bottom w:val="none" w:sz="0" w:space="0" w:color="auto"/>
        <w:right w:val="none" w:sz="0" w:space="0" w:color="auto"/>
      </w:divBdr>
    </w:div>
    <w:div w:id="169756752">
      <w:bodyDiv w:val="1"/>
      <w:marLeft w:val="0"/>
      <w:marRight w:val="0"/>
      <w:marTop w:val="0"/>
      <w:marBottom w:val="0"/>
      <w:divBdr>
        <w:top w:val="none" w:sz="0" w:space="0" w:color="auto"/>
        <w:left w:val="none" w:sz="0" w:space="0" w:color="auto"/>
        <w:bottom w:val="none" w:sz="0" w:space="0" w:color="auto"/>
        <w:right w:val="none" w:sz="0" w:space="0" w:color="auto"/>
      </w:divBdr>
    </w:div>
    <w:div w:id="174422976">
      <w:bodyDiv w:val="1"/>
      <w:marLeft w:val="0"/>
      <w:marRight w:val="0"/>
      <w:marTop w:val="0"/>
      <w:marBottom w:val="0"/>
      <w:divBdr>
        <w:top w:val="none" w:sz="0" w:space="0" w:color="auto"/>
        <w:left w:val="none" w:sz="0" w:space="0" w:color="auto"/>
        <w:bottom w:val="none" w:sz="0" w:space="0" w:color="auto"/>
        <w:right w:val="none" w:sz="0" w:space="0" w:color="auto"/>
      </w:divBdr>
    </w:div>
    <w:div w:id="176316766">
      <w:bodyDiv w:val="1"/>
      <w:marLeft w:val="0"/>
      <w:marRight w:val="0"/>
      <w:marTop w:val="0"/>
      <w:marBottom w:val="0"/>
      <w:divBdr>
        <w:top w:val="none" w:sz="0" w:space="0" w:color="auto"/>
        <w:left w:val="none" w:sz="0" w:space="0" w:color="auto"/>
        <w:bottom w:val="none" w:sz="0" w:space="0" w:color="auto"/>
        <w:right w:val="none" w:sz="0" w:space="0" w:color="auto"/>
      </w:divBdr>
    </w:div>
    <w:div w:id="208422548">
      <w:bodyDiv w:val="1"/>
      <w:marLeft w:val="0"/>
      <w:marRight w:val="0"/>
      <w:marTop w:val="0"/>
      <w:marBottom w:val="0"/>
      <w:divBdr>
        <w:top w:val="none" w:sz="0" w:space="0" w:color="auto"/>
        <w:left w:val="none" w:sz="0" w:space="0" w:color="auto"/>
        <w:bottom w:val="none" w:sz="0" w:space="0" w:color="auto"/>
        <w:right w:val="none" w:sz="0" w:space="0" w:color="auto"/>
      </w:divBdr>
    </w:div>
    <w:div w:id="234321166">
      <w:bodyDiv w:val="1"/>
      <w:marLeft w:val="0"/>
      <w:marRight w:val="0"/>
      <w:marTop w:val="0"/>
      <w:marBottom w:val="0"/>
      <w:divBdr>
        <w:top w:val="none" w:sz="0" w:space="0" w:color="auto"/>
        <w:left w:val="none" w:sz="0" w:space="0" w:color="auto"/>
        <w:bottom w:val="none" w:sz="0" w:space="0" w:color="auto"/>
        <w:right w:val="none" w:sz="0" w:space="0" w:color="auto"/>
      </w:divBdr>
    </w:div>
    <w:div w:id="263467309">
      <w:bodyDiv w:val="1"/>
      <w:marLeft w:val="0"/>
      <w:marRight w:val="0"/>
      <w:marTop w:val="0"/>
      <w:marBottom w:val="0"/>
      <w:divBdr>
        <w:top w:val="none" w:sz="0" w:space="0" w:color="auto"/>
        <w:left w:val="none" w:sz="0" w:space="0" w:color="auto"/>
        <w:bottom w:val="none" w:sz="0" w:space="0" w:color="auto"/>
        <w:right w:val="none" w:sz="0" w:space="0" w:color="auto"/>
      </w:divBdr>
    </w:div>
    <w:div w:id="269975011">
      <w:bodyDiv w:val="1"/>
      <w:marLeft w:val="0"/>
      <w:marRight w:val="0"/>
      <w:marTop w:val="0"/>
      <w:marBottom w:val="0"/>
      <w:divBdr>
        <w:top w:val="none" w:sz="0" w:space="0" w:color="auto"/>
        <w:left w:val="none" w:sz="0" w:space="0" w:color="auto"/>
        <w:bottom w:val="none" w:sz="0" w:space="0" w:color="auto"/>
        <w:right w:val="none" w:sz="0" w:space="0" w:color="auto"/>
      </w:divBdr>
    </w:div>
    <w:div w:id="273943661">
      <w:bodyDiv w:val="1"/>
      <w:marLeft w:val="0"/>
      <w:marRight w:val="0"/>
      <w:marTop w:val="0"/>
      <w:marBottom w:val="0"/>
      <w:divBdr>
        <w:top w:val="none" w:sz="0" w:space="0" w:color="auto"/>
        <w:left w:val="none" w:sz="0" w:space="0" w:color="auto"/>
        <w:bottom w:val="none" w:sz="0" w:space="0" w:color="auto"/>
        <w:right w:val="none" w:sz="0" w:space="0" w:color="auto"/>
      </w:divBdr>
    </w:div>
    <w:div w:id="288052022">
      <w:bodyDiv w:val="1"/>
      <w:marLeft w:val="0"/>
      <w:marRight w:val="0"/>
      <w:marTop w:val="0"/>
      <w:marBottom w:val="0"/>
      <w:divBdr>
        <w:top w:val="none" w:sz="0" w:space="0" w:color="auto"/>
        <w:left w:val="none" w:sz="0" w:space="0" w:color="auto"/>
        <w:bottom w:val="none" w:sz="0" w:space="0" w:color="auto"/>
        <w:right w:val="none" w:sz="0" w:space="0" w:color="auto"/>
      </w:divBdr>
    </w:div>
    <w:div w:id="308753812">
      <w:bodyDiv w:val="1"/>
      <w:marLeft w:val="0"/>
      <w:marRight w:val="0"/>
      <w:marTop w:val="0"/>
      <w:marBottom w:val="0"/>
      <w:divBdr>
        <w:top w:val="none" w:sz="0" w:space="0" w:color="auto"/>
        <w:left w:val="none" w:sz="0" w:space="0" w:color="auto"/>
        <w:bottom w:val="none" w:sz="0" w:space="0" w:color="auto"/>
        <w:right w:val="none" w:sz="0" w:space="0" w:color="auto"/>
      </w:divBdr>
    </w:div>
    <w:div w:id="367410030">
      <w:bodyDiv w:val="1"/>
      <w:marLeft w:val="0"/>
      <w:marRight w:val="0"/>
      <w:marTop w:val="0"/>
      <w:marBottom w:val="0"/>
      <w:divBdr>
        <w:top w:val="none" w:sz="0" w:space="0" w:color="auto"/>
        <w:left w:val="none" w:sz="0" w:space="0" w:color="auto"/>
        <w:bottom w:val="none" w:sz="0" w:space="0" w:color="auto"/>
        <w:right w:val="none" w:sz="0" w:space="0" w:color="auto"/>
      </w:divBdr>
    </w:div>
    <w:div w:id="399527415">
      <w:bodyDiv w:val="1"/>
      <w:marLeft w:val="0"/>
      <w:marRight w:val="0"/>
      <w:marTop w:val="0"/>
      <w:marBottom w:val="0"/>
      <w:divBdr>
        <w:top w:val="none" w:sz="0" w:space="0" w:color="auto"/>
        <w:left w:val="none" w:sz="0" w:space="0" w:color="auto"/>
        <w:bottom w:val="none" w:sz="0" w:space="0" w:color="auto"/>
        <w:right w:val="none" w:sz="0" w:space="0" w:color="auto"/>
      </w:divBdr>
    </w:div>
    <w:div w:id="419453216">
      <w:bodyDiv w:val="1"/>
      <w:marLeft w:val="0"/>
      <w:marRight w:val="0"/>
      <w:marTop w:val="0"/>
      <w:marBottom w:val="0"/>
      <w:divBdr>
        <w:top w:val="none" w:sz="0" w:space="0" w:color="auto"/>
        <w:left w:val="none" w:sz="0" w:space="0" w:color="auto"/>
        <w:bottom w:val="none" w:sz="0" w:space="0" w:color="auto"/>
        <w:right w:val="none" w:sz="0" w:space="0" w:color="auto"/>
      </w:divBdr>
    </w:div>
    <w:div w:id="428042694">
      <w:bodyDiv w:val="1"/>
      <w:marLeft w:val="0"/>
      <w:marRight w:val="0"/>
      <w:marTop w:val="0"/>
      <w:marBottom w:val="0"/>
      <w:divBdr>
        <w:top w:val="none" w:sz="0" w:space="0" w:color="auto"/>
        <w:left w:val="none" w:sz="0" w:space="0" w:color="auto"/>
        <w:bottom w:val="none" w:sz="0" w:space="0" w:color="auto"/>
        <w:right w:val="none" w:sz="0" w:space="0" w:color="auto"/>
      </w:divBdr>
    </w:div>
    <w:div w:id="452289173">
      <w:bodyDiv w:val="1"/>
      <w:marLeft w:val="0"/>
      <w:marRight w:val="0"/>
      <w:marTop w:val="0"/>
      <w:marBottom w:val="0"/>
      <w:divBdr>
        <w:top w:val="none" w:sz="0" w:space="0" w:color="auto"/>
        <w:left w:val="none" w:sz="0" w:space="0" w:color="auto"/>
        <w:bottom w:val="none" w:sz="0" w:space="0" w:color="auto"/>
        <w:right w:val="none" w:sz="0" w:space="0" w:color="auto"/>
      </w:divBdr>
    </w:div>
    <w:div w:id="474566826">
      <w:bodyDiv w:val="1"/>
      <w:marLeft w:val="0"/>
      <w:marRight w:val="0"/>
      <w:marTop w:val="0"/>
      <w:marBottom w:val="0"/>
      <w:divBdr>
        <w:top w:val="none" w:sz="0" w:space="0" w:color="auto"/>
        <w:left w:val="none" w:sz="0" w:space="0" w:color="auto"/>
        <w:bottom w:val="none" w:sz="0" w:space="0" w:color="auto"/>
        <w:right w:val="none" w:sz="0" w:space="0" w:color="auto"/>
      </w:divBdr>
    </w:div>
    <w:div w:id="517886978">
      <w:bodyDiv w:val="1"/>
      <w:marLeft w:val="0"/>
      <w:marRight w:val="0"/>
      <w:marTop w:val="0"/>
      <w:marBottom w:val="0"/>
      <w:divBdr>
        <w:top w:val="none" w:sz="0" w:space="0" w:color="auto"/>
        <w:left w:val="none" w:sz="0" w:space="0" w:color="auto"/>
        <w:bottom w:val="none" w:sz="0" w:space="0" w:color="auto"/>
        <w:right w:val="none" w:sz="0" w:space="0" w:color="auto"/>
      </w:divBdr>
    </w:div>
    <w:div w:id="529952327">
      <w:bodyDiv w:val="1"/>
      <w:marLeft w:val="0"/>
      <w:marRight w:val="0"/>
      <w:marTop w:val="0"/>
      <w:marBottom w:val="0"/>
      <w:divBdr>
        <w:top w:val="none" w:sz="0" w:space="0" w:color="auto"/>
        <w:left w:val="none" w:sz="0" w:space="0" w:color="auto"/>
        <w:bottom w:val="none" w:sz="0" w:space="0" w:color="auto"/>
        <w:right w:val="none" w:sz="0" w:space="0" w:color="auto"/>
      </w:divBdr>
    </w:div>
    <w:div w:id="556623745">
      <w:bodyDiv w:val="1"/>
      <w:marLeft w:val="0"/>
      <w:marRight w:val="0"/>
      <w:marTop w:val="0"/>
      <w:marBottom w:val="0"/>
      <w:divBdr>
        <w:top w:val="none" w:sz="0" w:space="0" w:color="auto"/>
        <w:left w:val="none" w:sz="0" w:space="0" w:color="auto"/>
        <w:bottom w:val="none" w:sz="0" w:space="0" w:color="auto"/>
        <w:right w:val="none" w:sz="0" w:space="0" w:color="auto"/>
      </w:divBdr>
    </w:div>
    <w:div w:id="561916444">
      <w:bodyDiv w:val="1"/>
      <w:marLeft w:val="0"/>
      <w:marRight w:val="0"/>
      <w:marTop w:val="0"/>
      <w:marBottom w:val="0"/>
      <w:divBdr>
        <w:top w:val="none" w:sz="0" w:space="0" w:color="auto"/>
        <w:left w:val="none" w:sz="0" w:space="0" w:color="auto"/>
        <w:bottom w:val="none" w:sz="0" w:space="0" w:color="auto"/>
        <w:right w:val="none" w:sz="0" w:space="0" w:color="auto"/>
      </w:divBdr>
    </w:div>
    <w:div w:id="572738003">
      <w:bodyDiv w:val="1"/>
      <w:marLeft w:val="0"/>
      <w:marRight w:val="0"/>
      <w:marTop w:val="0"/>
      <w:marBottom w:val="0"/>
      <w:divBdr>
        <w:top w:val="none" w:sz="0" w:space="0" w:color="auto"/>
        <w:left w:val="none" w:sz="0" w:space="0" w:color="auto"/>
        <w:bottom w:val="none" w:sz="0" w:space="0" w:color="auto"/>
        <w:right w:val="none" w:sz="0" w:space="0" w:color="auto"/>
      </w:divBdr>
    </w:div>
    <w:div w:id="652565856">
      <w:bodyDiv w:val="1"/>
      <w:marLeft w:val="0"/>
      <w:marRight w:val="0"/>
      <w:marTop w:val="0"/>
      <w:marBottom w:val="0"/>
      <w:divBdr>
        <w:top w:val="none" w:sz="0" w:space="0" w:color="auto"/>
        <w:left w:val="none" w:sz="0" w:space="0" w:color="auto"/>
        <w:bottom w:val="none" w:sz="0" w:space="0" w:color="auto"/>
        <w:right w:val="none" w:sz="0" w:space="0" w:color="auto"/>
      </w:divBdr>
    </w:div>
    <w:div w:id="665858555">
      <w:bodyDiv w:val="1"/>
      <w:marLeft w:val="0"/>
      <w:marRight w:val="0"/>
      <w:marTop w:val="0"/>
      <w:marBottom w:val="0"/>
      <w:divBdr>
        <w:top w:val="none" w:sz="0" w:space="0" w:color="auto"/>
        <w:left w:val="none" w:sz="0" w:space="0" w:color="auto"/>
        <w:bottom w:val="none" w:sz="0" w:space="0" w:color="auto"/>
        <w:right w:val="none" w:sz="0" w:space="0" w:color="auto"/>
      </w:divBdr>
    </w:div>
    <w:div w:id="671298382">
      <w:bodyDiv w:val="1"/>
      <w:marLeft w:val="0"/>
      <w:marRight w:val="0"/>
      <w:marTop w:val="0"/>
      <w:marBottom w:val="0"/>
      <w:divBdr>
        <w:top w:val="none" w:sz="0" w:space="0" w:color="auto"/>
        <w:left w:val="none" w:sz="0" w:space="0" w:color="auto"/>
        <w:bottom w:val="none" w:sz="0" w:space="0" w:color="auto"/>
        <w:right w:val="none" w:sz="0" w:space="0" w:color="auto"/>
      </w:divBdr>
    </w:div>
    <w:div w:id="689330751">
      <w:bodyDiv w:val="1"/>
      <w:marLeft w:val="0"/>
      <w:marRight w:val="0"/>
      <w:marTop w:val="0"/>
      <w:marBottom w:val="0"/>
      <w:divBdr>
        <w:top w:val="none" w:sz="0" w:space="0" w:color="auto"/>
        <w:left w:val="none" w:sz="0" w:space="0" w:color="auto"/>
        <w:bottom w:val="none" w:sz="0" w:space="0" w:color="auto"/>
        <w:right w:val="none" w:sz="0" w:space="0" w:color="auto"/>
      </w:divBdr>
    </w:div>
    <w:div w:id="693383767">
      <w:bodyDiv w:val="1"/>
      <w:marLeft w:val="0"/>
      <w:marRight w:val="0"/>
      <w:marTop w:val="0"/>
      <w:marBottom w:val="0"/>
      <w:divBdr>
        <w:top w:val="none" w:sz="0" w:space="0" w:color="auto"/>
        <w:left w:val="none" w:sz="0" w:space="0" w:color="auto"/>
        <w:bottom w:val="none" w:sz="0" w:space="0" w:color="auto"/>
        <w:right w:val="none" w:sz="0" w:space="0" w:color="auto"/>
      </w:divBdr>
    </w:div>
    <w:div w:id="706220971">
      <w:bodyDiv w:val="1"/>
      <w:marLeft w:val="0"/>
      <w:marRight w:val="0"/>
      <w:marTop w:val="0"/>
      <w:marBottom w:val="0"/>
      <w:divBdr>
        <w:top w:val="none" w:sz="0" w:space="0" w:color="auto"/>
        <w:left w:val="none" w:sz="0" w:space="0" w:color="auto"/>
        <w:bottom w:val="none" w:sz="0" w:space="0" w:color="auto"/>
        <w:right w:val="none" w:sz="0" w:space="0" w:color="auto"/>
      </w:divBdr>
    </w:div>
    <w:div w:id="714432358">
      <w:bodyDiv w:val="1"/>
      <w:marLeft w:val="0"/>
      <w:marRight w:val="0"/>
      <w:marTop w:val="0"/>
      <w:marBottom w:val="0"/>
      <w:divBdr>
        <w:top w:val="none" w:sz="0" w:space="0" w:color="auto"/>
        <w:left w:val="none" w:sz="0" w:space="0" w:color="auto"/>
        <w:bottom w:val="none" w:sz="0" w:space="0" w:color="auto"/>
        <w:right w:val="none" w:sz="0" w:space="0" w:color="auto"/>
      </w:divBdr>
    </w:div>
    <w:div w:id="715667484">
      <w:bodyDiv w:val="1"/>
      <w:marLeft w:val="0"/>
      <w:marRight w:val="0"/>
      <w:marTop w:val="0"/>
      <w:marBottom w:val="0"/>
      <w:divBdr>
        <w:top w:val="none" w:sz="0" w:space="0" w:color="auto"/>
        <w:left w:val="none" w:sz="0" w:space="0" w:color="auto"/>
        <w:bottom w:val="none" w:sz="0" w:space="0" w:color="auto"/>
        <w:right w:val="none" w:sz="0" w:space="0" w:color="auto"/>
      </w:divBdr>
    </w:div>
    <w:div w:id="734203921">
      <w:bodyDiv w:val="1"/>
      <w:marLeft w:val="0"/>
      <w:marRight w:val="0"/>
      <w:marTop w:val="0"/>
      <w:marBottom w:val="0"/>
      <w:divBdr>
        <w:top w:val="none" w:sz="0" w:space="0" w:color="auto"/>
        <w:left w:val="none" w:sz="0" w:space="0" w:color="auto"/>
        <w:bottom w:val="none" w:sz="0" w:space="0" w:color="auto"/>
        <w:right w:val="none" w:sz="0" w:space="0" w:color="auto"/>
      </w:divBdr>
    </w:div>
    <w:div w:id="759135749">
      <w:bodyDiv w:val="1"/>
      <w:marLeft w:val="0"/>
      <w:marRight w:val="0"/>
      <w:marTop w:val="0"/>
      <w:marBottom w:val="0"/>
      <w:divBdr>
        <w:top w:val="none" w:sz="0" w:space="0" w:color="auto"/>
        <w:left w:val="none" w:sz="0" w:space="0" w:color="auto"/>
        <w:bottom w:val="none" w:sz="0" w:space="0" w:color="auto"/>
        <w:right w:val="none" w:sz="0" w:space="0" w:color="auto"/>
      </w:divBdr>
    </w:div>
    <w:div w:id="773091706">
      <w:bodyDiv w:val="1"/>
      <w:marLeft w:val="0"/>
      <w:marRight w:val="0"/>
      <w:marTop w:val="0"/>
      <w:marBottom w:val="0"/>
      <w:divBdr>
        <w:top w:val="none" w:sz="0" w:space="0" w:color="auto"/>
        <w:left w:val="none" w:sz="0" w:space="0" w:color="auto"/>
        <w:bottom w:val="none" w:sz="0" w:space="0" w:color="auto"/>
        <w:right w:val="none" w:sz="0" w:space="0" w:color="auto"/>
      </w:divBdr>
    </w:div>
    <w:div w:id="774907791">
      <w:bodyDiv w:val="1"/>
      <w:marLeft w:val="0"/>
      <w:marRight w:val="0"/>
      <w:marTop w:val="0"/>
      <w:marBottom w:val="0"/>
      <w:divBdr>
        <w:top w:val="none" w:sz="0" w:space="0" w:color="auto"/>
        <w:left w:val="none" w:sz="0" w:space="0" w:color="auto"/>
        <w:bottom w:val="none" w:sz="0" w:space="0" w:color="auto"/>
        <w:right w:val="none" w:sz="0" w:space="0" w:color="auto"/>
      </w:divBdr>
    </w:div>
    <w:div w:id="787939661">
      <w:bodyDiv w:val="1"/>
      <w:marLeft w:val="0"/>
      <w:marRight w:val="0"/>
      <w:marTop w:val="0"/>
      <w:marBottom w:val="0"/>
      <w:divBdr>
        <w:top w:val="none" w:sz="0" w:space="0" w:color="auto"/>
        <w:left w:val="none" w:sz="0" w:space="0" w:color="auto"/>
        <w:bottom w:val="none" w:sz="0" w:space="0" w:color="auto"/>
        <w:right w:val="none" w:sz="0" w:space="0" w:color="auto"/>
      </w:divBdr>
    </w:div>
    <w:div w:id="836070210">
      <w:bodyDiv w:val="1"/>
      <w:marLeft w:val="0"/>
      <w:marRight w:val="0"/>
      <w:marTop w:val="0"/>
      <w:marBottom w:val="0"/>
      <w:divBdr>
        <w:top w:val="none" w:sz="0" w:space="0" w:color="auto"/>
        <w:left w:val="none" w:sz="0" w:space="0" w:color="auto"/>
        <w:bottom w:val="none" w:sz="0" w:space="0" w:color="auto"/>
        <w:right w:val="none" w:sz="0" w:space="0" w:color="auto"/>
      </w:divBdr>
    </w:div>
    <w:div w:id="883638081">
      <w:bodyDiv w:val="1"/>
      <w:marLeft w:val="0"/>
      <w:marRight w:val="0"/>
      <w:marTop w:val="0"/>
      <w:marBottom w:val="0"/>
      <w:divBdr>
        <w:top w:val="none" w:sz="0" w:space="0" w:color="auto"/>
        <w:left w:val="none" w:sz="0" w:space="0" w:color="auto"/>
        <w:bottom w:val="none" w:sz="0" w:space="0" w:color="auto"/>
        <w:right w:val="none" w:sz="0" w:space="0" w:color="auto"/>
      </w:divBdr>
    </w:div>
    <w:div w:id="900405758">
      <w:bodyDiv w:val="1"/>
      <w:marLeft w:val="0"/>
      <w:marRight w:val="0"/>
      <w:marTop w:val="0"/>
      <w:marBottom w:val="0"/>
      <w:divBdr>
        <w:top w:val="none" w:sz="0" w:space="0" w:color="auto"/>
        <w:left w:val="none" w:sz="0" w:space="0" w:color="auto"/>
        <w:bottom w:val="none" w:sz="0" w:space="0" w:color="auto"/>
        <w:right w:val="none" w:sz="0" w:space="0" w:color="auto"/>
      </w:divBdr>
    </w:div>
    <w:div w:id="913508870">
      <w:bodyDiv w:val="1"/>
      <w:marLeft w:val="0"/>
      <w:marRight w:val="0"/>
      <w:marTop w:val="0"/>
      <w:marBottom w:val="0"/>
      <w:divBdr>
        <w:top w:val="none" w:sz="0" w:space="0" w:color="auto"/>
        <w:left w:val="none" w:sz="0" w:space="0" w:color="auto"/>
        <w:bottom w:val="none" w:sz="0" w:space="0" w:color="auto"/>
        <w:right w:val="none" w:sz="0" w:space="0" w:color="auto"/>
      </w:divBdr>
    </w:div>
    <w:div w:id="946233624">
      <w:bodyDiv w:val="1"/>
      <w:marLeft w:val="0"/>
      <w:marRight w:val="0"/>
      <w:marTop w:val="0"/>
      <w:marBottom w:val="0"/>
      <w:divBdr>
        <w:top w:val="none" w:sz="0" w:space="0" w:color="auto"/>
        <w:left w:val="none" w:sz="0" w:space="0" w:color="auto"/>
        <w:bottom w:val="none" w:sz="0" w:space="0" w:color="auto"/>
        <w:right w:val="none" w:sz="0" w:space="0" w:color="auto"/>
      </w:divBdr>
    </w:div>
    <w:div w:id="985596660">
      <w:bodyDiv w:val="1"/>
      <w:marLeft w:val="0"/>
      <w:marRight w:val="0"/>
      <w:marTop w:val="0"/>
      <w:marBottom w:val="0"/>
      <w:divBdr>
        <w:top w:val="none" w:sz="0" w:space="0" w:color="auto"/>
        <w:left w:val="none" w:sz="0" w:space="0" w:color="auto"/>
        <w:bottom w:val="none" w:sz="0" w:space="0" w:color="auto"/>
        <w:right w:val="none" w:sz="0" w:space="0" w:color="auto"/>
      </w:divBdr>
    </w:div>
    <w:div w:id="987906274">
      <w:bodyDiv w:val="1"/>
      <w:marLeft w:val="0"/>
      <w:marRight w:val="0"/>
      <w:marTop w:val="0"/>
      <w:marBottom w:val="0"/>
      <w:divBdr>
        <w:top w:val="none" w:sz="0" w:space="0" w:color="auto"/>
        <w:left w:val="none" w:sz="0" w:space="0" w:color="auto"/>
        <w:bottom w:val="none" w:sz="0" w:space="0" w:color="auto"/>
        <w:right w:val="none" w:sz="0" w:space="0" w:color="auto"/>
      </w:divBdr>
    </w:div>
    <w:div w:id="1030105208">
      <w:bodyDiv w:val="1"/>
      <w:marLeft w:val="0"/>
      <w:marRight w:val="0"/>
      <w:marTop w:val="0"/>
      <w:marBottom w:val="0"/>
      <w:divBdr>
        <w:top w:val="none" w:sz="0" w:space="0" w:color="auto"/>
        <w:left w:val="none" w:sz="0" w:space="0" w:color="auto"/>
        <w:bottom w:val="none" w:sz="0" w:space="0" w:color="auto"/>
        <w:right w:val="none" w:sz="0" w:space="0" w:color="auto"/>
      </w:divBdr>
    </w:div>
    <w:div w:id="1041831513">
      <w:bodyDiv w:val="1"/>
      <w:marLeft w:val="0"/>
      <w:marRight w:val="0"/>
      <w:marTop w:val="0"/>
      <w:marBottom w:val="0"/>
      <w:divBdr>
        <w:top w:val="none" w:sz="0" w:space="0" w:color="auto"/>
        <w:left w:val="none" w:sz="0" w:space="0" w:color="auto"/>
        <w:bottom w:val="none" w:sz="0" w:space="0" w:color="auto"/>
        <w:right w:val="none" w:sz="0" w:space="0" w:color="auto"/>
      </w:divBdr>
    </w:div>
    <w:div w:id="1043944452">
      <w:bodyDiv w:val="1"/>
      <w:marLeft w:val="0"/>
      <w:marRight w:val="0"/>
      <w:marTop w:val="0"/>
      <w:marBottom w:val="0"/>
      <w:divBdr>
        <w:top w:val="none" w:sz="0" w:space="0" w:color="auto"/>
        <w:left w:val="none" w:sz="0" w:space="0" w:color="auto"/>
        <w:bottom w:val="none" w:sz="0" w:space="0" w:color="auto"/>
        <w:right w:val="none" w:sz="0" w:space="0" w:color="auto"/>
      </w:divBdr>
    </w:div>
    <w:div w:id="1044015845">
      <w:bodyDiv w:val="1"/>
      <w:marLeft w:val="0"/>
      <w:marRight w:val="0"/>
      <w:marTop w:val="0"/>
      <w:marBottom w:val="0"/>
      <w:divBdr>
        <w:top w:val="none" w:sz="0" w:space="0" w:color="auto"/>
        <w:left w:val="none" w:sz="0" w:space="0" w:color="auto"/>
        <w:bottom w:val="none" w:sz="0" w:space="0" w:color="auto"/>
        <w:right w:val="none" w:sz="0" w:space="0" w:color="auto"/>
      </w:divBdr>
    </w:div>
    <w:div w:id="1081637819">
      <w:bodyDiv w:val="1"/>
      <w:marLeft w:val="0"/>
      <w:marRight w:val="0"/>
      <w:marTop w:val="0"/>
      <w:marBottom w:val="0"/>
      <w:divBdr>
        <w:top w:val="none" w:sz="0" w:space="0" w:color="auto"/>
        <w:left w:val="none" w:sz="0" w:space="0" w:color="auto"/>
        <w:bottom w:val="none" w:sz="0" w:space="0" w:color="auto"/>
        <w:right w:val="none" w:sz="0" w:space="0" w:color="auto"/>
      </w:divBdr>
    </w:div>
    <w:div w:id="1099643804">
      <w:bodyDiv w:val="1"/>
      <w:marLeft w:val="0"/>
      <w:marRight w:val="0"/>
      <w:marTop w:val="0"/>
      <w:marBottom w:val="0"/>
      <w:divBdr>
        <w:top w:val="none" w:sz="0" w:space="0" w:color="auto"/>
        <w:left w:val="none" w:sz="0" w:space="0" w:color="auto"/>
        <w:bottom w:val="none" w:sz="0" w:space="0" w:color="auto"/>
        <w:right w:val="none" w:sz="0" w:space="0" w:color="auto"/>
      </w:divBdr>
    </w:div>
    <w:div w:id="1103964003">
      <w:bodyDiv w:val="1"/>
      <w:marLeft w:val="0"/>
      <w:marRight w:val="0"/>
      <w:marTop w:val="0"/>
      <w:marBottom w:val="0"/>
      <w:divBdr>
        <w:top w:val="none" w:sz="0" w:space="0" w:color="auto"/>
        <w:left w:val="none" w:sz="0" w:space="0" w:color="auto"/>
        <w:bottom w:val="none" w:sz="0" w:space="0" w:color="auto"/>
        <w:right w:val="none" w:sz="0" w:space="0" w:color="auto"/>
      </w:divBdr>
    </w:div>
    <w:div w:id="1153907955">
      <w:bodyDiv w:val="1"/>
      <w:marLeft w:val="0"/>
      <w:marRight w:val="0"/>
      <w:marTop w:val="0"/>
      <w:marBottom w:val="0"/>
      <w:divBdr>
        <w:top w:val="none" w:sz="0" w:space="0" w:color="auto"/>
        <w:left w:val="none" w:sz="0" w:space="0" w:color="auto"/>
        <w:bottom w:val="none" w:sz="0" w:space="0" w:color="auto"/>
        <w:right w:val="none" w:sz="0" w:space="0" w:color="auto"/>
      </w:divBdr>
    </w:div>
    <w:div w:id="1163354562">
      <w:bodyDiv w:val="1"/>
      <w:marLeft w:val="0"/>
      <w:marRight w:val="0"/>
      <w:marTop w:val="0"/>
      <w:marBottom w:val="0"/>
      <w:divBdr>
        <w:top w:val="none" w:sz="0" w:space="0" w:color="auto"/>
        <w:left w:val="none" w:sz="0" w:space="0" w:color="auto"/>
        <w:bottom w:val="none" w:sz="0" w:space="0" w:color="auto"/>
        <w:right w:val="none" w:sz="0" w:space="0" w:color="auto"/>
      </w:divBdr>
    </w:div>
    <w:div w:id="1171220154">
      <w:bodyDiv w:val="1"/>
      <w:marLeft w:val="0"/>
      <w:marRight w:val="0"/>
      <w:marTop w:val="0"/>
      <w:marBottom w:val="0"/>
      <w:divBdr>
        <w:top w:val="none" w:sz="0" w:space="0" w:color="auto"/>
        <w:left w:val="none" w:sz="0" w:space="0" w:color="auto"/>
        <w:bottom w:val="none" w:sz="0" w:space="0" w:color="auto"/>
        <w:right w:val="none" w:sz="0" w:space="0" w:color="auto"/>
      </w:divBdr>
    </w:div>
    <w:div w:id="1183514857">
      <w:bodyDiv w:val="1"/>
      <w:marLeft w:val="0"/>
      <w:marRight w:val="0"/>
      <w:marTop w:val="0"/>
      <w:marBottom w:val="0"/>
      <w:divBdr>
        <w:top w:val="none" w:sz="0" w:space="0" w:color="auto"/>
        <w:left w:val="none" w:sz="0" w:space="0" w:color="auto"/>
        <w:bottom w:val="none" w:sz="0" w:space="0" w:color="auto"/>
        <w:right w:val="none" w:sz="0" w:space="0" w:color="auto"/>
      </w:divBdr>
    </w:div>
    <w:div w:id="1189300009">
      <w:bodyDiv w:val="1"/>
      <w:marLeft w:val="0"/>
      <w:marRight w:val="0"/>
      <w:marTop w:val="0"/>
      <w:marBottom w:val="0"/>
      <w:divBdr>
        <w:top w:val="none" w:sz="0" w:space="0" w:color="auto"/>
        <w:left w:val="none" w:sz="0" w:space="0" w:color="auto"/>
        <w:bottom w:val="none" w:sz="0" w:space="0" w:color="auto"/>
        <w:right w:val="none" w:sz="0" w:space="0" w:color="auto"/>
      </w:divBdr>
    </w:div>
    <w:div w:id="1190099333">
      <w:bodyDiv w:val="1"/>
      <w:marLeft w:val="0"/>
      <w:marRight w:val="0"/>
      <w:marTop w:val="0"/>
      <w:marBottom w:val="0"/>
      <w:divBdr>
        <w:top w:val="none" w:sz="0" w:space="0" w:color="auto"/>
        <w:left w:val="none" w:sz="0" w:space="0" w:color="auto"/>
        <w:bottom w:val="none" w:sz="0" w:space="0" w:color="auto"/>
        <w:right w:val="none" w:sz="0" w:space="0" w:color="auto"/>
      </w:divBdr>
    </w:div>
    <w:div w:id="1232036043">
      <w:bodyDiv w:val="1"/>
      <w:marLeft w:val="0"/>
      <w:marRight w:val="0"/>
      <w:marTop w:val="0"/>
      <w:marBottom w:val="0"/>
      <w:divBdr>
        <w:top w:val="none" w:sz="0" w:space="0" w:color="auto"/>
        <w:left w:val="none" w:sz="0" w:space="0" w:color="auto"/>
        <w:bottom w:val="none" w:sz="0" w:space="0" w:color="auto"/>
        <w:right w:val="none" w:sz="0" w:space="0" w:color="auto"/>
      </w:divBdr>
    </w:div>
    <w:div w:id="1241596719">
      <w:bodyDiv w:val="1"/>
      <w:marLeft w:val="0"/>
      <w:marRight w:val="0"/>
      <w:marTop w:val="0"/>
      <w:marBottom w:val="0"/>
      <w:divBdr>
        <w:top w:val="none" w:sz="0" w:space="0" w:color="auto"/>
        <w:left w:val="none" w:sz="0" w:space="0" w:color="auto"/>
        <w:bottom w:val="none" w:sz="0" w:space="0" w:color="auto"/>
        <w:right w:val="none" w:sz="0" w:space="0" w:color="auto"/>
      </w:divBdr>
    </w:div>
    <w:div w:id="1304845784">
      <w:bodyDiv w:val="1"/>
      <w:marLeft w:val="0"/>
      <w:marRight w:val="0"/>
      <w:marTop w:val="0"/>
      <w:marBottom w:val="0"/>
      <w:divBdr>
        <w:top w:val="none" w:sz="0" w:space="0" w:color="auto"/>
        <w:left w:val="none" w:sz="0" w:space="0" w:color="auto"/>
        <w:bottom w:val="none" w:sz="0" w:space="0" w:color="auto"/>
        <w:right w:val="none" w:sz="0" w:space="0" w:color="auto"/>
      </w:divBdr>
    </w:div>
    <w:div w:id="1325665985">
      <w:bodyDiv w:val="1"/>
      <w:marLeft w:val="0"/>
      <w:marRight w:val="0"/>
      <w:marTop w:val="0"/>
      <w:marBottom w:val="0"/>
      <w:divBdr>
        <w:top w:val="none" w:sz="0" w:space="0" w:color="auto"/>
        <w:left w:val="none" w:sz="0" w:space="0" w:color="auto"/>
        <w:bottom w:val="none" w:sz="0" w:space="0" w:color="auto"/>
        <w:right w:val="none" w:sz="0" w:space="0" w:color="auto"/>
      </w:divBdr>
    </w:div>
    <w:div w:id="1358964198">
      <w:bodyDiv w:val="1"/>
      <w:marLeft w:val="0"/>
      <w:marRight w:val="0"/>
      <w:marTop w:val="0"/>
      <w:marBottom w:val="0"/>
      <w:divBdr>
        <w:top w:val="none" w:sz="0" w:space="0" w:color="auto"/>
        <w:left w:val="none" w:sz="0" w:space="0" w:color="auto"/>
        <w:bottom w:val="none" w:sz="0" w:space="0" w:color="auto"/>
        <w:right w:val="none" w:sz="0" w:space="0" w:color="auto"/>
      </w:divBdr>
    </w:div>
    <w:div w:id="1366517332">
      <w:bodyDiv w:val="1"/>
      <w:marLeft w:val="0"/>
      <w:marRight w:val="0"/>
      <w:marTop w:val="0"/>
      <w:marBottom w:val="0"/>
      <w:divBdr>
        <w:top w:val="none" w:sz="0" w:space="0" w:color="auto"/>
        <w:left w:val="none" w:sz="0" w:space="0" w:color="auto"/>
        <w:bottom w:val="none" w:sz="0" w:space="0" w:color="auto"/>
        <w:right w:val="none" w:sz="0" w:space="0" w:color="auto"/>
      </w:divBdr>
    </w:div>
    <w:div w:id="1390498279">
      <w:bodyDiv w:val="1"/>
      <w:marLeft w:val="0"/>
      <w:marRight w:val="0"/>
      <w:marTop w:val="0"/>
      <w:marBottom w:val="0"/>
      <w:divBdr>
        <w:top w:val="none" w:sz="0" w:space="0" w:color="auto"/>
        <w:left w:val="none" w:sz="0" w:space="0" w:color="auto"/>
        <w:bottom w:val="none" w:sz="0" w:space="0" w:color="auto"/>
        <w:right w:val="none" w:sz="0" w:space="0" w:color="auto"/>
      </w:divBdr>
    </w:div>
    <w:div w:id="1406798907">
      <w:bodyDiv w:val="1"/>
      <w:marLeft w:val="0"/>
      <w:marRight w:val="0"/>
      <w:marTop w:val="0"/>
      <w:marBottom w:val="0"/>
      <w:divBdr>
        <w:top w:val="none" w:sz="0" w:space="0" w:color="auto"/>
        <w:left w:val="none" w:sz="0" w:space="0" w:color="auto"/>
        <w:bottom w:val="none" w:sz="0" w:space="0" w:color="auto"/>
        <w:right w:val="none" w:sz="0" w:space="0" w:color="auto"/>
      </w:divBdr>
    </w:div>
    <w:div w:id="1409572968">
      <w:bodyDiv w:val="1"/>
      <w:marLeft w:val="0"/>
      <w:marRight w:val="0"/>
      <w:marTop w:val="0"/>
      <w:marBottom w:val="0"/>
      <w:divBdr>
        <w:top w:val="none" w:sz="0" w:space="0" w:color="auto"/>
        <w:left w:val="none" w:sz="0" w:space="0" w:color="auto"/>
        <w:bottom w:val="none" w:sz="0" w:space="0" w:color="auto"/>
        <w:right w:val="none" w:sz="0" w:space="0" w:color="auto"/>
      </w:divBdr>
    </w:div>
    <w:div w:id="1427455328">
      <w:bodyDiv w:val="1"/>
      <w:marLeft w:val="0"/>
      <w:marRight w:val="0"/>
      <w:marTop w:val="0"/>
      <w:marBottom w:val="0"/>
      <w:divBdr>
        <w:top w:val="none" w:sz="0" w:space="0" w:color="auto"/>
        <w:left w:val="none" w:sz="0" w:space="0" w:color="auto"/>
        <w:bottom w:val="none" w:sz="0" w:space="0" w:color="auto"/>
        <w:right w:val="none" w:sz="0" w:space="0" w:color="auto"/>
      </w:divBdr>
    </w:div>
    <w:div w:id="1470704150">
      <w:bodyDiv w:val="1"/>
      <w:marLeft w:val="0"/>
      <w:marRight w:val="0"/>
      <w:marTop w:val="0"/>
      <w:marBottom w:val="0"/>
      <w:divBdr>
        <w:top w:val="none" w:sz="0" w:space="0" w:color="auto"/>
        <w:left w:val="none" w:sz="0" w:space="0" w:color="auto"/>
        <w:bottom w:val="none" w:sz="0" w:space="0" w:color="auto"/>
        <w:right w:val="none" w:sz="0" w:space="0" w:color="auto"/>
      </w:divBdr>
    </w:div>
    <w:div w:id="1489442195">
      <w:bodyDiv w:val="1"/>
      <w:marLeft w:val="0"/>
      <w:marRight w:val="0"/>
      <w:marTop w:val="0"/>
      <w:marBottom w:val="0"/>
      <w:divBdr>
        <w:top w:val="none" w:sz="0" w:space="0" w:color="auto"/>
        <w:left w:val="none" w:sz="0" w:space="0" w:color="auto"/>
        <w:bottom w:val="none" w:sz="0" w:space="0" w:color="auto"/>
        <w:right w:val="none" w:sz="0" w:space="0" w:color="auto"/>
      </w:divBdr>
      <w:divsChild>
        <w:div w:id="1303851193">
          <w:marLeft w:val="0"/>
          <w:marRight w:val="0"/>
          <w:marTop w:val="0"/>
          <w:marBottom w:val="0"/>
          <w:divBdr>
            <w:top w:val="none" w:sz="0" w:space="0" w:color="auto"/>
            <w:left w:val="none" w:sz="0" w:space="0" w:color="auto"/>
            <w:bottom w:val="none" w:sz="0" w:space="0" w:color="auto"/>
            <w:right w:val="none" w:sz="0" w:space="0" w:color="auto"/>
          </w:divBdr>
        </w:div>
        <w:div w:id="662242800">
          <w:marLeft w:val="0"/>
          <w:marRight w:val="0"/>
          <w:marTop w:val="0"/>
          <w:marBottom w:val="0"/>
          <w:divBdr>
            <w:top w:val="none" w:sz="0" w:space="0" w:color="auto"/>
            <w:left w:val="none" w:sz="0" w:space="0" w:color="auto"/>
            <w:bottom w:val="none" w:sz="0" w:space="0" w:color="auto"/>
            <w:right w:val="none" w:sz="0" w:space="0" w:color="auto"/>
          </w:divBdr>
        </w:div>
      </w:divsChild>
    </w:div>
    <w:div w:id="1502937583">
      <w:bodyDiv w:val="1"/>
      <w:marLeft w:val="0"/>
      <w:marRight w:val="0"/>
      <w:marTop w:val="0"/>
      <w:marBottom w:val="0"/>
      <w:divBdr>
        <w:top w:val="none" w:sz="0" w:space="0" w:color="auto"/>
        <w:left w:val="none" w:sz="0" w:space="0" w:color="auto"/>
        <w:bottom w:val="none" w:sz="0" w:space="0" w:color="auto"/>
        <w:right w:val="none" w:sz="0" w:space="0" w:color="auto"/>
      </w:divBdr>
    </w:div>
    <w:div w:id="1504393374">
      <w:bodyDiv w:val="1"/>
      <w:marLeft w:val="0"/>
      <w:marRight w:val="0"/>
      <w:marTop w:val="0"/>
      <w:marBottom w:val="0"/>
      <w:divBdr>
        <w:top w:val="none" w:sz="0" w:space="0" w:color="auto"/>
        <w:left w:val="none" w:sz="0" w:space="0" w:color="auto"/>
        <w:bottom w:val="none" w:sz="0" w:space="0" w:color="auto"/>
        <w:right w:val="none" w:sz="0" w:space="0" w:color="auto"/>
      </w:divBdr>
    </w:div>
    <w:div w:id="1553158234">
      <w:bodyDiv w:val="1"/>
      <w:marLeft w:val="0"/>
      <w:marRight w:val="0"/>
      <w:marTop w:val="0"/>
      <w:marBottom w:val="0"/>
      <w:divBdr>
        <w:top w:val="none" w:sz="0" w:space="0" w:color="auto"/>
        <w:left w:val="none" w:sz="0" w:space="0" w:color="auto"/>
        <w:bottom w:val="none" w:sz="0" w:space="0" w:color="auto"/>
        <w:right w:val="none" w:sz="0" w:space="0" w:color="auto"/>
      </w:divBdr>
    </w:div>
    <w:div w:id="1579974227">
      <w:bodyDiv w:val="1"/>
      <w:marLeft w:val="0"/>
      <w:marRight w:val="0"/>
      <w:marTop w:val="0"/>
      <w:marBottom w:val="0"/>
      <w:divBdr>
        <w:top w:val="none" w:sz="0" w:space="0" w:color="auto"/>
        <w:left w:val="none" w:sz="0" w:space="0" w:color="auto"/>
        <w:bottom w:val="none" w:sz="0" w:space="0" w:color="auto"/>
        <w:right w:val="none" w:sz="0" w:space="0" w:color="auto"/>
      </w:divBdr>
    </w:div>
    <w:div w:id="1592352906">
      <w:bodyDiv w:val="1"/>
      <w:marLeft w:val="0"/>
      <w:marRight w:val="0"/>
      <w:marTop w:val="0"/>
      <w:marBottom w:val="0"/>
      <w:divBdr>
        <w:top w:val="none" w:sz="0" w:space="0" w:color="auto"/>
        <w:left w:val="none" w:sz="0" w:space="0" w:color="auto"/>
        <w:bottom w:val="none" w:sz="0" w:space="0" w:color="auto"/>
        <w:right w:val="none" w:sz="0" w:space="0" w:color="auto"/>
      </w:divBdr>
    </w:div>
    <w:div w:id="1613709469">
      <w:bodyDiv w:val="1"/>
      <w:marLeft w:val="0"/>
      <w:marRight w:val="0"/>
      <w:marTop w:val="0"/>
      <w:marBottom w:val="0"/>
      <w:divBdr>
        <w:top w:val="none" w:sz="0" w:space="0" w:color="auto"/>
        <w:left w:val="none" w:sz="0" w:space="0" w:color="auto"/>
        <w:bottom w:val="none" w:sz="0" w:space="0" w:color="auto"/>
        <w:right w:val="none" w:sz="0" w:space="0" w:color="auto"/>
      </w:divBdr>
    </w:div>
    <w:div w:id="1621454365">
      <w:bodyDiv w:val="1"/>
      <w:marLeft w:val="0"/>
      <w:marRight w:val="0"/>
      <w:marTop w:val="0"/>
      <w:marBottom w:val="0"/>
      <w:divBdr>
        <w:top w:val="none" w:sz="0" w:space="0" w:color="auto"/>
        <w:left w:val="none" w:sz="0" w:space="0" w:color="auto"/>
        <w:bottom w:val="none" w:sz="0" w:space="0" w:color="auto"/>
        <w:right w:val="none" w:sz="0" w:space="0" w:color="auto"/>
      </w:divBdr>
    </w:div>
    <w:div w:id="1642004489">
      <w:bodyDiv w:val="1"/>
      <w:marLeft w:val="0"/>
      <w:marRight w:val="0"/>
      <w:marTop w:val="0"/>
      <w:marBottom w:val="0"/>
      <w:divBdr>
        <w:top w:val="none" w:sz="0" w:space="0" w:color="auto"/>
        <w:left w:val="none" w:sz="0" w:space="0" w:color="auto"/>
        <w:bottom w:val="none" w:sz="0" w:space="0" w:color="auto"/>
        <w:right w:val="none" w:sz="0" w:space="0" w:color="auto"/>
      </w:divBdr>
    </w:div>
    <w:div w:id="1647658659">
      <w:bodyDiv w:val="1"/>
      <w:marLeft w:val="0"/>
      <w:marRight w:val="0"/>
      <w:marTop w:val="0"/>
      <w:marBottom w:val="0"/>
      <w:divBdr>
        <w:top w:val="none" w:sz="0" w:space="0" w:color="auto"/>
        <w:left w:val="none" w:sz="0" w:space="0" w:color="auto"/>
        <w:bottom w:val="none" w:sz="0" w:space="0" w:color="auto"/>
        <w:right w:val="none" w:sz="0" w:space="0" w:color="auto"/>
      </w:divBdr>
    </w:div>
    <w:div w:id="1654216935">
      <w:bodyDiv w:val="1"/>
      <w:marLeft w:val="0"/>
      <w:marRight w:val="0"/>
      <w:marTop w:val="0"/>
      <w:marBottom w:val="0"/>
      <w:divBdr>
        <w:top w:val="none" w:sz="0" w:space="0" w:color="auto"/>
        <w:left w:val="none" w:sz="0" w:space="0" w:color="auto"/>
        <w:bottom w:val="none" w:sz="0" w:space="0" w:color="auto"/>
        <w:right w:val="none" w:sz="0" w:space="0" w:color="auto"/>
      </w:divBdr>
    </w:div>
    <w:div w:id="1695378694">
      <w:bodyDiv w:val="1"/>
      <w:marLeft w:val="0"/>
      <w:marRight w:val="0"/>
      <w:marTop w:val="0"/>
      <w:marBottom w:val="0"/>
      <w:divBdr>
        <w:top w:val="none" w:sz="0" w:space="0" w:color="auto"/>
        <w:left w:val="none" w:sz="0" w:space="0" w:color="auto"/>
        <w:bottom w:val="none" w:sz="0" w:space="0" w:color="auto"/>
        <w:right w:val="none" w:sz="0" w:space="0" w:color="auto"/>
      </w:divBdr>
    </w:div>
    <w:div w:id="1698316057">
      <w:bodyDiv w:val="1"/>
      <w:marLeft w:val="0"/>
      <w:marRight w:val="0"/>
      <w:marTop w:val="0"/>
      <w:marBottom w:val="0"/>
      <w:divBdr>
        <w:top w:val="none" w:sz="0" w:space="0" w:color="auto"/>
        <w:left w:val="none" w:sz="0" w:space="0" w:color="auto"/>
        <w:bottom w:val="none" w:sz="0" w:space="0" w:color="auto"/>
        <w:right w:val="none" w:sz="0" w:space="0" w:color="auto"/>
      </w:divBdr>
    </w:div>
    <w:div w:id="1700662812">
      <w:bodyDiv w:val="1"/>
      <w:marLeft w:val="0"/>
      <w:marRight w:val="0"/>
      <w:marTop w:val="0"/>
      <w:marBottom w:val="0"/>
      <w:divBdr>
        <w:top w:val="none" w:sz="0" w:space="0" w:color="auto"/>
        <w:left w:val="none" w:sz="0" w:space="0" w:color="auto"/>
        <w:bottom w:val="none" w:sz="0" w:space="0" w:color="auto"/>
        <w:right w:val="none" w:sz="0" w:space="0" w:color="auto"/>
      </w:divBdr>
    </w:div>
    <w:div w:id="1718385601">
      <w:bodyDiv w:val="1"/>
      <w:marLeft w:val="0"/>
      <w:marRight w:val="0"/>
      <w:marTop w:val="0"/>
      <w:marBottom w:val="0"/>
      <w:divBdr>
        <w:top w:val="none" w:sz="0" w:space="0" w:color="auto"/>
        <w:left w:val="none" w:sz="0" w:space="0" w:color="auto"/>
        <w:bottom w:val="none" w:sz="0" w:space="0" w:color="auto"/>
        <w:right w:val="none" w:sz="0" w:space="0" w:color="auto"/>
      </w:divBdr>
    </w:div>
    <w:div w:id="1727333182">
      <w:bodyDiv w:val="1"/>
      <w:marLeft w:val="0"/>
      <w:marRight w:val="0"/>
      <w:marTop w:val="0"/>
      <w:marBottom w:val="0"/>
      <w:divBdr>
        <w:top w:val="none" w:sz="0" w:space="0" w:color="auto"/>
        <w:left w:val="none" w:sz="0" w:space="0" w:color="auto"/>
        <w:bottom w:val="none" w:sz="0" w:space="0" w:color="auto"/>
        <w:right w:val="none" w:sz="0" w:space="0" w:color="auto"/>
      </w:divBdr>
    </w:div>
    <w:div w:id="1732847136">
      <w:bodyDiv w:val="1"/>
      <w:marLeft w:val="0"/>
      <w:marRight w:val="0"/>
      <w:marTop w:val="0"/>
      <w:marBottom w:val="0"/>
      <w:divBdr>
        <w:top w:val="none" w:sz="0" w:space="0" w:color="auto"/>
        <w:left w:val="none" w:sz="0" w:space="0" w:color="auto"/>
        <w:bottom w:val="none" w:sz="0" w:space="0" w:color="auto"/>
        <w:right w:val="none" w:sz="0" w:space="0" w:color="auto"/>
      </w:divBdr>
    </w:div>
    <w:div w:id="1767577501">
      <w:bodyDiv w:val="1"/>
      <w:marLeft w:val="0"/>
      <w:marRight w:val="0"/>
      <w:marTop w:val="0"/>
      <w:marBottom w:val="0"/>
      <w:divBdr>
        <w:top w:val="none" w:sz="0" w:space="0" w:color="auto"/>
        <w:left w:val="none" w:sz="0" w:space="0" w:color="auto"/>
        <w:bottom w:val="none" w:sz="0" w:space="0" w:color="auto"/>
        <w:right w:val="none" w:sz="0" w:space="0" w:color="auto"/>
      </w:divBdr>
    </w:div>
    <w:div w:id="1768231655">
      <w:bodyDiv w:val="1"/>
      <w:marLeft w:val="0"/>
      <w:marRight w:val="0"/>
      <w:marTop w:val="0"/>
      <w:marBottom w:val="0"/>
      <w:divBdr>
        <w:top w:val="none" w:sz="0" w:space="0" w:color="auto"/>
        <w:left w:val="none" w:sz="0" w:space="0" w:color="auto"/>
        <w:bottom w:val="none" w:sz="0" w:space="0" w:color="auto"/>
        <w:right w:val="none" w:sz="0" w:space="0" w:color="auto"/>
      </w:divBdr>
    </w:div>
    <w:div w:id="1770853487">
      <w:bodyDiv w:val="1"/>
      <w:marLeft w:val="0"/>
      <w:marRight w:val="0"/>
      <w:marTop w:val="0"/>
      <w:marBottom w:val="0"/>
      <w:divBdr>
        <w:top w:val="none" w:sz="0" w:space="0" w:color="auto"/>
        <w:left w:val="none" w:sz="0" w:space="0" w:color="auto"/>
        <w:bottom w:val="none" w:sz="0" w:space="0" w:color="auto"/>
        <w:right w:val="none" w:sz="0" w:space="0" w:color="auto"/>
      </w:divBdr>
    </w:div>
    <w:div w:id="1789469830">
      <w:bodyDiv w:val="1"/>
      <w:marLeft w:val="0"/>
      <w:marRight w:val="0"/>
      <w:marTop w:val="0"/>
      <w:marBottom w:val="0"/>
      <w:divBdr>
        <w:top w:val="none" w:sz="0" w:space="0" w:color="auto"/>
        <w:left w:val="none" w:sz="0" w:space="0" w:color="auto"/>
        <w:bottom w:val="none" w:sz="0" w:space="0" w:color="auto"/>
        <w:right w:val="none" w:sz="0" w:space="0" w:color="auto"/>
      </w:divBdr>
    </w:div>
    <w:div w:id="1799643328">
      <w:bodyDiv w:val="1"/>
      <w:marLeft w:val="0"/>
      <w:marRight w:val="0"/>
      <w:marTop w:val="0"/>
      <w:marBottom w:val="0"/>
      <w:divBdr>
        <w:top w:val="none" w:sz="0" w:space="0" w:color="auto"/>
        <w:left w:val="none" w:sz="0" w:space="0" w:color="auto"/>
        <w:bottom w:val="none" w:sz="0" w:space="0" w:color="auto"/>
        <w:right w:val="none" w:sz="0" w:space="0" w:color="auto"/>
      </w:divBdr>
    </w:div>
    <w:div w:id="1818187705">
      <w:bodyDiv w:val="1"/>
      <w:marLeft w:val="0"/>
      <w:marRight w:val="0"/>
      <w:marTop w:val="0"/>
      <w:marBottom w:val="0"/>
      <w:divBdr>
        <w:top w:val="none" w:sz="0" w:space="0" w:color="auto"/>
        <w:left w:val="none" w:sz="0" w:space="0" w:color="auto"/>
        <w:bottom w:val="none" w:sz="0" w:space="0" w:color="auto"/>
        <w:right w:val="none" w:sz="0" w:space="0" w:color="auto"/>
      </w:divBdr>
    </w:div>
    <w:div w:id="1872526266">
      <w:bodyDiv w:val="1"/>
      <w:marLeft w:val="0"/>
      <w:marRight w:val="0"/>
      <w:marTop w:val="0"/>
      <w:marBottom w:val="0"/>
      <w:divBdr>
        <w:top w:val="none" w:sz="0" w:space="0" w:color="auto"/>
        <w:left w:val="none" w:sz="0" w:space="0" w:color="auto"/>
        <w:bottom w:val="none" w:sz="0" w:space="0" w:color="auto"/>
        <w:right w:val="none" w:sz="0" w:space="0" w:color="auto"/>
      </w:divBdr>
    </w:div>
    <w:div w:id="1918173612">
      <w:bodyDiv w:val="1"/>
      <w:marLeft w:val="0"/>
      <w:marRight w:val="0"/>
      <w:marTop w:val="0"/>
      <w:marBottom w:val="0"/>
      <w:divBdr>
        <w:top w:val="none" w:sz="0" w:space="0" w:color="auto"/>
        <w:left w:val="none" w:sz="0" w:space="0" w:color="auto"/>
        <w:bottom w:val="none" w:sz="0" w:space="0" w:color="auto"/>
        <w:right w:val="none" w:sz="0" w:space="0" w:color="auto"/>
      </w:divBdr>
    </w:div>
    <w:div w:id="1940720975">
      <w:bodyDiv w:val="1"/>
      <w:marLeft w:val="0"/>
      <w:marRight w:val="0"/>
      <w:marTop w:val="0"/>
      <w:marBottom w:val="0"/>
      <w:divBdr>
        <w:top w:val="none" w:sz="0" w:space="0" w:color="auto"/>
        <w:left w:val="none" w:sz="0" w:space="0" w:color="auto"/>
        <w:bottom w:val="none" w:sz="0" w:space="0" w:color="auto"/>
        <w:right w:val="none" w:sz="0" w:space="0" w:color="auto"/>
      </w:divBdr>
    </w:div>
    <w:div w:id="1965967376">
      <w:bodyDiv w:val="1"/>
      <w:marLeft w:val="0"/>
      <w:marRight w:val="0"/>
      <w:marTop w:val="0"/>
      <w:marBottom w:val="0"/>
      <w:divBdr>
        <w:top w:val="none" w:sz="0" w:space="0" w:color="auto"/>
        <w:left w:val="none" w:sz="0" w:space="0" w:color="auto"/>
        <w:bottom w:val="none" w:sz="0" w:space="0" w:color="auto"/>
        <w:right w:val="none" w:sz="0" w:space="0" w:color="auto"/>
      </w:divBdr>
    </w:div>
    <w:div w:id="1976792891">
      <w:bodyDiv w:val="1"/>
      <w:marLeft w:val="0"/>
      <w:marRight w:val="0"/>
      <w:marTop w:val="0"/>
      <w:marBottom w:val="0"/>
      <w:divBdr>
        <w:top w:val="none" w:sz="0" w:space="0" w:color="auto"/>
        <w:left w:val="none" w:sz="0" w:space="0" w:color="auto"/>
        <w:bottom w:val="none" w:sz="0" w:space="0" w:color="auto"/>
        <w:right w:val="none" w:sz="0" w:space="0" w:color="auto"/>
      </w:divBdr>
    </w:div>
    <w:div w:id="1991516452">
      <w:bodyDiv w:val="1"/>
      <w:marLeft w:val="0"/>
      <w:marRight w:val="0"/>
      <w:marTop w:val="0"/>
      <w:marBottom w:val="0"/>
      <w:divBdr>
        <w:top w:val="none" w:sz="0" w:space="0" w:color="auto"/>
        <w:left w:val="none" w:sz="0" w:space="0" w:color="auto"/>
        <w:bottom w:val="none" w:sz="0" w:space="0" w:color="auto"/>
        <w:right w:val="none" w:sz="0" w:space="0" w:color="auto"/>
      </w:divBdr>
    </w:div>
    <w:div w:id="1991783844">
      <w:bodyDiv w:val="1"/>
      <w:marLeft w:val="0"/>
      <w:marRight w:val="0"/>
      <w:marTop w:val="0"/>
      <w:marBottom w:val="0"/>
      <w:divBdr>
        <w:top w:val="none" w:sz="0" w:space="0" w:color="auto"/>
        <w:left w:val="none" w:sz="0" w:space="0" w:color="auto"/>
        <w:bottom w:val="none" w:sz="0" w:space="0" w:color="auto"/>
        <w:right w:val="none" w:sz="0" w:space="0" w:color="auto"/>
      </w:divBdr>
    </w:div>
    <w:div w:id="2005695829">
      <w:bodyDiv w:val="1"/>
      <w:marLeft w:val="0"/>
      <w:marRight w:val="0"/>
      <w:marTop w:val="0"/>
      <w:marBottom w:val="0"/>
      <w:divBdr>
        <w:top w:val="none" w:sz="0" w:space="0" w:color="auto"/>
        <w:left w:val="none" w:sz="0" w:space="0" w:color="auto"/>
        <w:bottom w:val="none" w:sz="0" w:space="0" w:color="auto"/>
        <w:right w:val="none" w:sz="0" w:space="0" w:color="auto"/>
      </w:divBdr>
    </w:div>
    <w:div w:id="2017883509">
      <w:bodyDiv w:val="1"/>
      <w:marLeft w:val="0"/>
      <w:marRight w:val="0"/>
      <w:marTop w:val="0"/>
      <w:marBottom w:val="0"/>
      <w:divBdr>
        <w:top w:val="none" w:sz="0" w:space="0" w:color="auto"/>
        <w:left w:val="none" w:sz="0" w:space="0" w:color="auto"/>
        <w:bottom w:val="none" w:sz="0" w:space="0" w:color="auto"/>
        <w:right w:val="none" w:sz="0" w:space="0" w:color="auto"/>
      </w:divBdr>
    </w:div>
    <w:div w:id="2027977146">
      <w:bodyDiv w:val="1"/>
      <w:marLeft w:val="0"/>
      <w:marRight w:val="0"/>
      <w:marTop w:val="0"/>
      <w:marBottom w:val="0"/>
      <w:divBdr>
        <w:top w:val="none" w:sz="0" w:space="0" w:color="auto"/>
        <w:left w:val="none" w:sz="0" w:space="0" w:color="auto"/>
        <w:bottom w:val="none" w:sz="0" w:space="0" w:color="auto"/>
        <w:right w:val="none" w:sz="0" w:space="0" w:color="auto"/>
      </w:divBdr>
    </w:div>
    <w:div w:id="2052915651">
      <w:bodyDiv w:val="1"/>
      <w:marLeft w:val="0"/>
      <w:marRight w:val="0"/>
      <w:marTop w:val="0"/>
      <w:marBottom w:val="0"/>
      <w:divBdr>
        <w:top w:val="none" w:sz="0" w:space="0" w:color="auto"/>
        <w:left w:val="none" w:sz="0" w:space="0" w:color="auto"/>
        <w:bottom w:val="none" w:sz="0" w:space="0" w:color="auto"/>
        <w:right w:val="none" w:sz="0" w:space="0" w:color="auto"/>
      </w:divBdr>
    </w:div>
    <w:div w:id="2054310722">
      <w:bodyDiv w:val="1"/>
      <w:marLeft w:val="0"/>
      <w:marRight w:val="0"/>
      <w:marTop w:val="0"/>
      <w:marBottom w:val="0"/>
      <w:divBdr>
        <w:top w:val="none" w:sz="0" w:space="0" w:color="auto"/>
        <w:left w:val="none" w:sz="0" w:space="0" w:color="auto"/>
        <w:bottom w:val="none" w:sz="0" w:space="0" w:color="auto"/>
        <w:right w:val="none" w:sz="0" w:space="0" w:color="auto"/>
      </w:divBdr>
    </w:div>
    <w:div w:id="2060398407">
      <w:bodyDiv w:val="1"/>
      <w:marLeft w:val="0"/>
      <w:marRight w:val="0"/>
      <w:marTop w:val="0"/>
      <w:marBottom w:val="0"/>
      <w:divBdr>
        <w:top w:val="none" w:sz="0" w:space="0" w:color="auto"/>
        <w:left w:val="none" w:sz="0" w:space="0" w:color="auto"/>
        <w:bottom w:val="none" w:sz="0" w:space="0" w:color="auto"/>
        <w:right w:val="none" w:sz="0" w:space="0" w:color="auto"/>
      </w:divBdr>
    </w:div>
    <w:div w:id="2069063501">
      <w:bodyDiv w:val="1"/>
      <w:marLeft w:val="0"/>
      <w:marRight w:val="0"/>
      <w:marTop w:val="0"/>
      <w:marBottom w:val="0"/>
      <w:divBdr>
        <w:top w:val="none" w:sz="0" w:space="0" w:color="auto"/>
        <w:left w:val="none" w:sz="0" w:space="0" w:color="auto"/>
        <w:bottom w:val="none" w:sz="0" w:space="0" w:color="auto"/>
        <w:right w:val="none" w:sz="0" w:space="0" w:color="auto"/>
      </w:divBdr>
    </w:div>
    <w:div w:id="2075355179">
      <w:bodyDiv w:val="1"/>
      <w:marLeft w:val="0"/>
      <w:marRight w:val="0"/>
      <w:marTop w:val="0"/>
      <w:marBottom w:val="0"/>
      <w:divBdr>
        <w:top w:val="none" w:sz="0" w:space="0" w:color="auto"/>
        <w:left w:val="none" w:sz="0" w:space="0" w:color="auto"/>
        <w:bottom w:val="none" w:sz="0" w:space="0" w:color="auto"/>
        <w:right w:val="none" w:sz="0" w:space="0" w:color="auto"/>
      </w:divBdr>
    </w:div>
    <w:div w:id="2122987818">
      <w:bodyDiv w:val="1"/>
      <w:marLeft w:val="0"/>
      <w:marRight w:val="0"/>
      <w:marTop w:val="0"/>
      <w:marBottom w:val="0"/>
      <w:divBdr>
        <w:top w:val="none" w:sz="0" w:space="0" w:color="auto"/>
        <w:left w:val="none" w:sz="0" w:space="0" w:color="auto"/>
        <w:bottom w:val="none" w:sz="0" w:space="0" w:color="auto"/>
        <w:right w:val="none" w:sz="0" w:space="0" w:color="auto"/>
      </w:divBdr>
    </w:div>
    <w:div w:id="212915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84D520-6CD9-4388-820C-E66147B68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586</TotalTime>
  <Pages>7</Pages>
  <Words>1080</Words>
  <Characters>6485</Characters>
  <Application>Microsoft Office Word</Application>
  <DocSecurity>0</DocSecurity>
  <Lines>54</Lines>
  <Paragraphs>15</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7550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Sitkowska Maria</dc:creator>
  <cp:keywords/>
  <dc:description/>
  <cp:lastModifiedBy>DAW</cp:lastModifiedBy>
  <cp:revision>45</cp:revision>
  <cp:lastPrinted>2022-05-05T11:20:00Z</cp:lastPrinted>
  <dcterms:created xsi:type="dcterms:W3CDTF">2024-04-23T08:53:00Z</dcterms:created>
  <dcterms:modified xsi:type="dcterms:W3CDTF">2026-03-31T12:04:00Z</dcterms:modified>
</cp:coreProperties>
</file>