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A7CD" w14:textId="77777777" w:rsidR="00677296" w:rsidRPr="00971FB0" w:rsidRDefault="00677296">
      <w:pPr>
        <w:rPr>
          <w:sz w:val="22"/>
          <w:szCs w:val="22"/>
        </w:rPr>
      </w:pPr>
    </w:p>
    <w:p w14:paraId="1F8CC072" w14:textId="77777777" w:rsidR="00D13BF2" w:rsidRPr="00971FB0" w:rsidRDefault="00D13BF2">
      <w:pPr>
        <w:rPr>
          <w:sz w:val="22"/>
          <w:szCs w:val="22"/>
        </w:rPr>
      </w:pPr>
    </w:p>
    <w:p w14:paraId="342B06CE" w14:textId="5AC7FF56" w:rsidR="00293818" w:rsidRPr="006B0962" w:rsidRDefault="00293818" w:rsidP="00293818">
      <w:pPr>
        <w:rPr>
          <w:sz w:val="22"/>
          <w:szCs w:val="22"/>
        </w:rPr>
      </w:pPr>
    </w:p>
    <w:p w14:paraId="71B0DCEE" w14:textId="02BFA357" w:rsidR="00293818" w:rsidRPr="006B0962" w:rsidRDefault="00293818" w:rsidP="00293818">
      <w:pPr>
        <w:rPr>
          <w:sz w:val="22"/>
          <w:szCs w:val="22"/>
        </w:rPr>
      </w:pPr>
    </w:p>
    <w:p w14:paraId="01E143B4" w14:textId="77777777" w:rsidR="00D13BF2" w:rsidRPr="006B0962" w:rsidRDefault="00D13BF2">
      <w:pPr>
        <w:rPr>
          <w:sz w:val="22"/>
          <w:szCs w:val="22"/>
        </w:rPr>
      </w:pPr>
    </w:p>
    <w:p w14:paraId="1F46866A" w14:textId="77777777" w:rsidR="00D13BF2" w:rsidRPr="006B0962" w:rsidRDefault="00D13BF2">
      <w:pPr>
        <w:rPr>
          <w:sz w:val="22"/>
          <w:szCs w:val="22"/>
        </w:rPr>
      </w:pPr>
    </w:p>
    <w:p w14:paraId="738E7DAE" w14:textId="77777777" w:rsidR="00105D65" w:rsidRDefault="00105D65" w:rsidP="00105D65">
      <w:pPr>
        <w:rPr>
          <w:rFonts w:cstheme="minorHAnsi"/>
          <w:kern w:val="0"/>
          <w:sz w:val="22"/>
          <w:szCs w:val="22"/>
          <w14:ligatures w14:val="none"/>
        </w:rPr>
      </w:pPr>
    </w:p>
    <w:p w14:paraId="37DAA6D5" w14:textId="77777777" w:rsidR="005D0231" w:rsidRDefault="005D0231" w:rsidP="00105D65">
      <w:pPr>
        <w:rPr>
          <w:rFonts w:cstheme="minorHAnsi"/>
          <w:kern w:val="0"/>
          <w:sz w:val="22"/>
          <w:szCs w:val="22"/>
          <w14:ligatures w14:val="none"/>
        </w:rPr>
      </w:pPr>
    </w:p>
    <w:p w14:paraId="416860ED" w14:textId="2CF11876" w:rsidR="00105D65" w:rsidRDefault="00105D65" w:rsidP="00105D65">
      <w:pPr>
        <w:spacing w:after="160" w:line="278" w:lineRule="auto"/>
        <w:jc w:val="center"/>
        <w:rPr>
          <w:rFonts w:ascii="Aptos" w:eastAsia="Aptos" w:hAnsi="Aptos" w:cs="Times New Roman"/>
          <w:b/>
          <w:bCs/>
        </w:rPr>
      </w:pPr>
      <w:r w:rsidRPr="00105D65">
        <w:rPr>
          <w:rFonts w:ascii="Aptos" w:eastAsia="Aptos" w:hAnsi="Aptos" w:cs="Times New Roman"/>
          <w:b/>
          <w:bCs/>
        </w:rPr>
        <w:t>Łączny wymiar składek na fundusze bankowe BFG w 2026 r. wyniesie 2 725 mln zł, 0,7% więcej niż w 2025 r.</w:t>
      </w:r>
    </w:p>
    <w:p w14:paraId="09158BF6" w14:textId="77777777" w:rsidR="00350B99" w:rsidRPr="00105D65" w:rsidRDefault="00350B99" w:rsidP="00105D65">
      <w:pPr>
        <w:spacing w:after="160" w:line="278" w:lineRule="auto"/>
        <w:jc w:val="center"/>
        <w:rPr>
          <w:rFonts w:ascii="Aptos" w:eastAsia="Aptos" w:hAnsi="Aptos" w:cs="Times New Roman"/>
          <w:b/>
          <w:bCs/>
        </w:rPr>
      </w:pPr>
    </w:p>
    <w:p w14:paraId="125082EF" w14:textId="34F44FCA" w:rsidR="00FA4169" w:rsidRDefault="00FA4169" w:rsidP="00FA4169">
      <w:pPr>
        <w:spacing w:after="160" w:line="278" w:lineRule="auto"/>
        <w:contextualSpacing/>
        <w:jc w:val="left"/>
        <w:rPr>
          <w:rFonts w:ascii="Aptos" w:eastAsia="Aptos" w:hAnsi="Aptos" w:cs="Times New Roman"/>
        </w:rPr>
      </w:pPr>
      <w:r w:rsidRPr="00FA4169">
        <w:rPr>
          <w:rFonts w:ascii="Aptos" w:eastAsia="Aptos" w:hAnsi="Aptos" w:cs="Times New Roman"/>
        </w:rPr>
        <w:t xml:space="preserve">Rada Bankowego Funduszu Gwarancyjnego określiła łączną kwotę składek na fundusze bankowe BFG </w:t>
      </w:r>
      <w:r w:rsidRPr="004B178C">
        <w:rPr>
          <w:rFonts w:ascii="Aptos" w:eastAsia="Aptos" w:hAnsi="Aptos" w:cs="Times New Roman"/>
        </w:rPr>
        <w:t>w 202</w:t>
      </w:r>
      <w:r w:rsidR="003F3557" w:rsidRPr="004B178C">
        <w:rPr>
          <w:rFonts w:ascii="Aptos" w:eastAsia="Aptos" w:hAnsi="Aptos" w:cs="Times New Roman"/>
        </w:rPr>
        <w:t>6</w:t>
      </w:r>
      <w:r w:rsidRPr="004B178C">
        <w:rPr>
          <w:rFonts w:ascii="Aptos" w:eastAsia="Aptos" w:hAnsi="Aptos" w:cs="Times New Roman"/>
        </w:rPr>
        <w:t xml:space="preserve"> r.</w:t>
      </w:r>
      <w:r w:rsidRPr="00FA4169">
        <w:rPr>
          <w:rFonts w:ascii="Aptos" w:eastAsia="Aptos" w:hAnsi="Aptos" w:cs="Times New Roman"/>
        </w:rPr>
        <w:t xml:space="preserve"> w wysokości</w:t>
      </w:r>
      <w:r>
        <w:rPr>
          <w:rFonts w:ascii="Aptos" w:eastAsia="Aptos" w:hAnsi="Aptos" w:cs="Times New Roman"/>
        </w:rPr>
        <w:t xml:space="preserve"> 2 725 mln zł.</w:t>
      </w:r>
    </w:p>
    <w:p w14:paraId="2CA0B94A" w14:textId="77777777" w:rsidR="00FA4169" w:rsidRDefault="00FA4169" w:rsidP="00FA4169">
      <w:pPr>
        <w:spacing w:after="160" w:line="278" w:lineRule="auto"/>
        <w:contextualSpacing/>
        <w:jc w:val="left"/>
        <w:rPr>
          <w:rFonts w:ascii="Aptos" w:eastAsia="Aptos" w:hAnsi="Aptos" w:cs="Times New Roman"/>
        </w:rPr>
      </w:pPr>
    </w:p>
    <w:p w14:paraId="5C5B3B9D" w14:textId="3572DB36" w:rsidR="00105D65" w:rsidRPr="00105D65" w:rsidRDefault="00105D65" w:rsidP="00105D65">
      <w:pPr>
        <w:numPr>
          <w:ilvl w:val="0"/>
          <w:numId w:val="2"/>
        </w:numPr>
        <w:spacing w:after="160" w:line="278" w:lineRule="auto"/>
        <w:contextualSpacing/>
        <w:jc w:val="left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 xml:space="preserve">Zgodnie z decyzją Rady BFG, w 2026 r. Fundusz nie będzie pobierał składek </w:t>
      </w:r>
      <w:r w:rsidRPr="00105D65">
        <w:rPr>
          <w:rFonts w:ascii="Aptos" w:eastAsia="Aptos" w:hAnsi="Aptos" w:cs="Times New Roman"/>
        </w:rPr>
        <w:br/>
        <w:t>na fundusz gwarancyjny banków, a składka na fundusz przymusowej restrukturyzacji banków wyniesie 2 725 mln zł</w:t>
      </w:r>
    </w:p>
    <w:p w14:paraId="330AD5DF" w14:textId="77777777" w:rsidR="00105D65" w:rsidRPr="00105D65" w:rsidRDefault="00105D65" w:rsidP="00105D65">
      <w:pPr>
        <w:numPr>
          <w:ilvl w:val="0"/>
          <w:numId w:val="2"/>
        </w:numPr>
        <w:spacing w:after="160" w:line="278" w:lineRule="auto"/>
        <w:contextualSpacing/>
        <w:jc w:val="left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>Łączne obciążenie sektora bankowego w stosunku do 2025 r. wzrośnie o 19 mln zł (0,7 proc.)</w:t>
      </w:r>
    </w:p>
    <w:p w14:paraId="41BB8BB3" w14:textId="77777777" w:rsidR="00105D65" w:rsidRPr="00105D65" w:rsidRDefault="00105D65" w:rsidP="00105D65">
      <w:pPr>
        <w:numPr>
          <w:ilvl w:val="0"/>
          <w:numId w:val="2"/>
        </w:numPr>
        <w:spacing w:after="160" w:line="278" w:lineRule="auto"/>
        <w:contextualSpacing/>
        <w:jc w:val="left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 xml:space="preserve">Decyzja Rady BFG pozwoli uniknąć skokowego wzrostu składek w 2027 r., </w:t>
      </w:r>
      <w:r w:rsidRPr="00105D65">
        <w:rPr>
          <w:rFonts w:ascii="Aptos" w:eastAsia="Aptos" w:hAnsi="Aptos" w:cs="Times New Roman"/>
        </w:rPr>
        <w:br/>
        <w:t>gdy spodziewany jest powrót do poboru składek na fundusz gwarancyjny banków</w:t>
      </w:r>
    </w:p>
    <w:p w14:paraId="52EB3B00" w14:textId="77777777" w:rsidR="00105D65" w:rsidRDefault="00105D65" w:rsidP="00105D65">
      <w:pPr>
        <w:numPr>
          <w:ilvl w:val="0"/>
          <w:numId w:val="2"/>
        </w:numPr>
        <w:spacing w:after="160" w:line="278" w:lineRule="auto"/>
        <w:contextualSpacing/>
        <w:jc w:val="left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>Zyski wypracowywane przez BFG, w tym w 2025 r. na poziomie ok. 1 385 mln zł, znacząco ograniczają wysokość pobieranych składek</w:t>
      </w:r>
    </w:p>
    <w:p w14:paraId="2BE2CEC6" w14:textId="77777777" w:rsidR="00FA4169" w:rsidRPr="00105D65" w:rsidRDefault="00FA4169" w:rsidP="00FA4169">
      <w:pPr>
        <w:spacing w:after="160" w:line="278" w:lineRule="auto"/>
        <w:ind w:left="720"/>
        <w:contextualSpacing/>
        <w:jc w:val="left"/>
        <w:rPr>
          <w:rFonts w:ascii="Aptos" w:eastAsia="Aptos" w:hAnsi="Aptos" w:cs="Times New Roman"/>
        </w:rPr>
      </w:pPr>
    </w:p>
    <w:p w14:paraId="25435B33" w14:textId="77777777" w:rsidR="00105D65" w:rsidRPr="00105D65" w:rsidRDefault="00105D65" w:rsidP="00105D65">
      <w:pPr>
        <w:spacing w:after="160" w:line="278" w:lineRule="auto"/>
        <w:rPr>
          <w:rFonts w:ascii="Aptos" w:eastAsia="Aptos" w:hAnsi="Aptos" w:cs="Times New Roman"/>
        </w:rPr>
      </w:pPr>
      <w:r w:rsidRPr="001458E2">
        <w:rPr>
          <w:rFonts w:ascii="Aptos" w:eastAsia="Aptos" w:hAnsi="Aptos" w:cs="Times New Roman"/>
          <w:i/>
          <w:iCs/>
        </w:rPr>
        <w:t xml:space="preserve">„Na koniec 2025 r. przekroczony został poziom docelowy 1,6% kwoty środków gwarantowanych w bankach, co skutkuje brakiem składki na fundusz gwarancyjny banków. Jest to w dużej mierze zasługa wysokiej zyskowności Funduszu. Rada BFG uznała jednak, że utrzymująca się korzystna rentowność sektora bankowego w Polsce jest właściwym momentem, aby przyspieszyć odbudowę funduszu przymusowej restrukturyzacji banków. Stąd decyzja, żeby łączny wymiar składek nie był niższy </w:t>
      </w:r>
      <w:r w:rsidRPr="001458E2">
        <w:rPr>
          <w:rFonts w:ascii="Aptos" w:eastAsia="Aptos" w:hAnsi="Aptos" w:cs="Times New Roman"/>
          <w:i/>
          <w:iCs/>
        </w:rPr>
        <w:br/>
        <w:t>niż w roku ubiegłym”</w:t>
      </w:r>
      <w:r w:rsidRPr="00105D65">
        <w:rPr>
          <w:rFonts w:ascii="Aptos" w:eastAsia="Aptos" w:hAnsi="Aptos" w:cs="Times New Roman"/>
        </w:rPr>
        <w:t xml:space="preserve">  – mówi prezes Zarządu BFG Maciej Szczęsny.</w:t>
      </w:r>
    </w:p>
    <w:p w14:paraId="240E7218" w14:textId="77777777" w:rsidR="00105D65" w:rsidRPr="00105D65" w:rsidRDefault="00105D65" w:rsidP="00105D65">
      <w:pPr>
        <w:spacing w:after="160" w:line="278" w:lineRule="auto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 xml:space="preserve">W przypadku sektora bankowego poziomy minimalne i docelowe oraz terminy </w:t>
      </w:r>
      <w:r w:rsidRPr="00105D65">
        <w:rPr>
          <w:rFonts w:ascii="Aptos" w:eastAsia="Aptos" w:hAnsi="Aptos" w:cs="Times New Roman"/>
        </w:rPr>
        <w:br/>
        <w:t xml:space="preserve">na ich osiągnięcie przedstawiają się następująco: </w:t>
      </w:r>
    </w:p>
    <w:p w14:paraId="593BCFE5" w14:textId="77777777" w:rsidR="00105D65" w:rsidRPr="00105D65" w:rsidRDefault="00105D65" w:rsidP="00105D65">
      <w:pPr>
        <w:spacing w:after="160" w:line="278" w:lineRule="auto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 xml:space="preserve">Fundusz gwarancyjny banków: </w:t>
      </w:r>
    </w:p>
    <w:p w14:paraId="66A3617A" w14:textId="77777777" w:rsidR="00105D65" w:rsidRPr="00105D65" w:rsidRDefault="00105D65" w:rsidP="00105D65">
      <w:pPr>
        <w:numPr>
          <w:ilvl w:val="0"/>
          <w:numId w:val="1"/>
        </w:numPr>
        <w:spacing w:after="160" w:line="278" w:lineRule="auto"/>
        <w:contextualSpacing/>
        <w:jc w:val="left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 xml:space="preserve">Poziom minimalny – 0,8% środków gwarantowanych; </w:t>
      </w:r>
    </w:p>
    <w:p w14:paraId="2CFE6C5B" w14:textId="4841D5EE" w:rsidR="00105D65" w:rsidRPr="00105D65" w:rsidRDefault="00105D65" w:rsidP="00105D65">
      <w:pPr>
        <w:numPr>
          <w:ilvl w:val="0"/>
          <w:numId w:val="1"/>
        </w:numPr>
        <w:spacing w:after="160" w:line="278" w:lineRule="auto"/>
        <w:contextualSpacing/>
        <w:jc w:val="left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 xml:space="preserve">Poziom docelowy – 1,6% środków gwarantowanych – utrzymanie poziomu </w:t>
      </w:r>
    </w:p>
    <w:p w14:paraId="30072D24" w14:textId="77777777" w:rsidR="005D0231" w:rsidRDefault="005D0231" w:rsidP="00105D65">
      <w:pPr>
        <w:spacing w:after="160" w:line="278" w:lineRule="auto"/>
        <w:rPr>
          <w:rFonts w:ascii="Aptos" w:eastAsia="Aptos" w:hAnsi="Aptos" w:cs="Times New Roman"/>
        </w:rPr>
      </w:pPr>
    </w:p>
    <w:p w14:paraId="29245021" w14:textId="60F19C54" w:rsidR="00105D65" w:rsidRPr="00105D65" w:rsidRDefault="00105D65" w:rsidP="00105D65">
      <w:pPr>
        <w:spacing w:after="160" w:line="278" w:lineRule="auto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lastRenderedPageBreak/>
        <w:t>Fundusz przymusowej restrukturyzacji banków</w:t>
      </w:r>
      <w:r w:rsidRPr="00105D65">
        <w:rPr>
          <w:rFonts w:ascii="Aptos" w:eastAsia="Aptos" w:hAnsi="Aptos" w:cs="Times New Roman"/>
          <w:vertAlign w:val="superscript"/>
        </w:rPr>
        <w:footnoteReference w:id="1"/>
      </w:r>
      <w:r w:rsidRPr="00105D65">
        <w:rPr>
          <w:rFonts w:ascii="Aptos" w:eastAsia="Aptos" w:hAnsi="Aptos" w:cs="Times New Roman"/>
        </w:rPr>
        <w:t xml:space="preserve">: </w:t>
      </w:r>
    </w:p>
    <w:p w14:paraId="7122BB15" w14:textId="77777777" w:rsidR="00105D65" w:rsidRPr="00105D65" w:rsidRDefault="00105D65" w:rsidP="00350B99">
      <w:pPr>
        <w:numPr>
          <w:ilvl w:val="0"/>
          <w:numId w:val="3"/>
        </w:numPr>
        <w:spacing w:after="160" w:line="278" w:lineRule="auto"/>
        <w:ind w:left="714" w:hanging="357"/>
        <w:contextualSpacing/>
        <w:jc w:val="left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 xml:space="preserve">Poziom minimalny – 1,0% środków gwarantowanych – w 2028 r.; </w:t>
      </w:r>
    </w:p>
    <w:p w14:paraId="5C6FFE34" w14:textId="77777777" w:rsidR="00105D65" w:rsidRPr="00105D65" w:rsidRDefault="00105D65" w:rsidP="00350B99">
      <w:pPr>
        <w:numPr>
          <w:ilvl w:val="0"/>
          <w:numId w:val="3"/>
        </w:numPr>
        <w:spacing w:after="160" w:line="278" w:lineRule="auto"/>
        <w:ind w:left="714" w:hanging="357"/>
        <w:contextualSpacing/>
        <w:jc w:val="left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>Poziom docelowy – 1,2% środków gwarantowanych – do dnia 31 grudnia 2034 r.</w:t>
      </w:r>
    </w:p>
    <w:p w14:paraId="4F77E82E" w14:textId="3C74EC08" w:rsidR="00105D65" w:rsidRPr="00105D65" w:rsidRDefault="00105D65" w:rsidP="00105D65">
      <w:pPr>
        <w:spacing w:after="160" w:line="278" w:lineRule="auto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 xml:space="preserve">Wg stanu na koniec 2025 r. poziom zabezpieczenia środków systemu gwarantowania depozytów w bankach wynosił 1,6005% środków gwarantowanych, a funduszu przymusowej restrukturyzacji banków 0,8102% środków gwarantowanych. Są to poziomy obliczone na podstawie wstępnych danych o poziomach funduszy BFG przed badaniem sprawozdania finansowego BFG przez firmę audytorską. Dane zaudytowane BFG przedstawia w Raporcie Rocznym, publikowanym w III kwartale roku. </w:t>
      </w:r>
    </w:p>
    <w:p w14:paraId="46131E01" w14:textId="77777777" w:rsidR="00105D65" w:rsidRPr="00105D65" w:rsidRDefault="00105D65" w:rsidP="00105D65">
      <w:pPr>
        <w:spacing w:after="160" w:line="278" w:lineRule="auto"/>
        <w:rPr>
          <w:rFonts w:ascii="Aptos" w:eastAsia="Aptos" w:hAnsi="Aptos" w:cs="Times New Roman"/>
          <w:u w:val="single"/>
        </w:rPr>
      </w:pPr>
      <w:r w:rsidRPr="00105D65">
        <w:rPr>
          <w:rFonts w:ascii="Aptos" w:eastAsia="Aptos" w:hAnsi="Aptos" w:cs="Times New Roman"/>
          <w:u w:val="single"/>
        </w:rPr>
        <w:t xml:space="preserve">Składki na fundusze kasowe w 2026 r. wyniosą łącznie 0,02 mln zł </w:t>
      </w:r>
    </w:p>
    <w:p w14:paraId="6672D86A" w14:textId="432B4A21" w:rsidR="00105D65" w:rsidRPr="00105D65" w:rsidRDefault="00105D65" w:rsidP="00105D65">
      <w:pPr>
        <w:spacing w:after="160" w:line="278" w:lineRule="auto"/>
        <w:rPr>
          <w:rFonts w:ascii="Aptos" w:eastAsia="Aptos" w:hAnsi="Aptos" w:cs="Times New Roman"/>
        </w:rPr>
      </w:pPr>
      <w:r w:rsidRPr="00105D65">
        <w:rPr>
          <w:rFonts w:ascii="Aptos" w:eastAsia="Aptos" w:hAnsi="Aptos" w:cs="Times New Roman"/>
        </w:rPr>
        <w:t xml:space="preserve">W przypadku sektora SKOK, składki na fundusz gwarancyjny </w:t>
      </w:r>
      <w:r w:rsidRPr="004B178C">
        <w:rPr>
          <w:rFonts w:ascii="Aptos" w:eastAsia="Aptos" w:hAnsi="Aptos" w:cs="Times New Roman"/>
        </w:rPr>
        <w:t>kas w 202</w:t>
      </w:r>
      <w:r w:rsidR="003F3557" w:rsidRPr="004B178C">
        <w:rPr>
          <w:rFonts w:ascii="Aptos" w:eastAsia="Aptos" w:hAnsi="Aptos" w:cs="Times New Roman"/>
        </w:rPr>
        <w:t>6</w:t>
      </w:r>
      <w:r w:rsidRPr="004B178C">
        <w:rPr>
          <w:rFonts w:ascii="Aptos" w:eastAsia="Aptos" w:hAnsi="Aptos" w:cs="Times New Roman"/>
        </w:rPr>
        <w:t xml:space="preserve"> r. nie</w:t>
      </w:r>
      <w:r w:rsidRPr="00105D65">
        <w:rPr>
          <w:rFonts w:ascii="Aptos" w:eastAsia="Aptos" w:hAnsi="Aptos" w:cs="Times New Roman"/>
        </w:rPr>
        <w:t xml:space="preserve"> będą pobierane, a składki na fundusz przymusowej restrukturyzacji wyniosą 20,0 tys. zł.</w:t>
      </w:r>
    </w:p>
    <w:p w14:paraId="760777B7" w14:textId="77777777" w:rsidR="00105D65" w:rsidRPr="00105D65" w:rsidRDefault="00105D65" w:rsidP="00105D65"/>
    <w:sectPr w:rsidR="00105D65" w:rsidRPr="00105D65" w:rsidSect="0067729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55A1" w14:textId="77777777" w:rsidR="00B33547" w:rsidRDefault="00B33547" w:rsidP="00B703AF">
      <w:r>
        <w:separator/>
      </w:r>
    </w:p>
  </w:endnote>
  <w:endnote w:type="continuationSeparator" w:id="0">
    <w:p w14:paraId="22126D3F" w14:textId="77777777" w:rsidR="00B33547" w:rsidRDefault="00B33547" w:rsidP="00B7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57450054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985ECAF" w14:textId="6F957672" w:rsidR="005829D8" w:rsidRDefault="005829D8" w:rsidP="005F519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F522D2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00BEF9E8" w14:textId="77777777" w:rsidR="005829D8" w:rsidRDefault="005829D8" w:rsidP="005829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07400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30AC715" w14:textId="23E289D6" w:rsidR="005829D8" w:rsidRDefault="005829D8" w:rsidP="005F519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B339E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E1ABE7F" w14:textId="77777777" w:rsidR="005829D8" w:rsidRDefault="005829D8" w:rsidP="005829D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063A" w14:textId="77777777" w:rsidR="00677296" w:rsidRPr="00142647" w:rsidRDefault="00677296" w:rsidP="00677296">
    <w:pPr>
      <w:pStyle w:val="Stopka"/>
      <w:rPr>
        <w:color w:val="2A5384"/>
        <w:sz w:val="18"/>
        <w:szCs w:val="18"/>
      </w:rPr>
    </w:pPr>
    <w:r w:rsidRPr="00142647">
      <w:rPr>
        <w:noProof/>
        <w:color w:val="2A5384"/>
      </w:rPr>
      <mc:AlternateContent>
        <mc:Choice Requires="wps">
          <w:drawing>
            <wp:anchor distT="288290" distB="0" distL="114300" distR="114300" simplePos="0" relativeHeight="251661312" behindDoc="1" locked="1" layoutInCell="1" allowOverlap="0" wp14:anchorId="48B51CC4" wp14:editId="0879B6CE">
              <wp:simplePos x="0" y="0"/>
              <wp:positionH relativeFrom="column">
                <wp:posOffset>0</wp:posOffset>
              </wp:positionH>
              <wp:positionV relativeFrom="page">
                <wp:posOffset>9530080</wp:posOffset>
              </wp:positionV>
              <wp:extent cx="5716800" cy="0"/>
              <wp:effectExtent l="0" t="0" r="11430" b="12700"/>
              <wp:wrapTopAndBottom/>
              <wp:docPr id="78238409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68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A53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B6433" id="Łącznik prosty 3" o:spid="_x0000_s1026" style="position:absolute;z-index:-251655168;visibility:visible;mso-wrap-style:square;mso-width-percent:0;mso-wrap-distance-left:9pt;mso-wrap-distance-top:22.7pt;mso-wrap-distance-right:9pt;mso-wrap-distance-bottom:0;mso-position-horizontal:absolute;mso-position-horizontal-relative:text;mso-position-vertical:absolute;mso-position-vertical-relative:page;mso-width-percent:0;mso-width-relative:margin" from="0,750.4pt" to="450.15pt,7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A2wAEAAN4DAAAOAAAAZHJzL2Uyb0RvYy54bWysU8GO0zAQvSPxD5bvNEmhS4martCulguC&#10;1QIf4DrjxpLtsWzTpH/P2G3TFSAhEBfHHs97M+95srmdrGEHCFGj63izqDkDJ7HXbt/xb18fXq05&#10;i0m4Xhh00PEjRH67ffliM/oWljig6SEwInGxHX3Hh5R8W1VRDmBFXKAHR5cKgxWJjmFf9UGMxG5N&#10;tazrm2rE0PuAEmKk6P3pkm8Lv1Ig02elIiRmOk69pbKGsu7yWm03ot0H4Qctz22If+jCCu2o6Ex1&#10;L5Jg34P+hcpqGTCiSguJtkKltISigdQ09U9qvgzCQ9FC5kQ/2xT/H638dLhzj4FsGH1so38MWcWk&#10;gs1f6o9NxazjbBZMiUkKrt42N+uaPJWXu+oK9CGmD4CW5U3HjXZZh2jF4WNMVIxSLyk5bBwbO/5u&#10;tVyVrIhG9w/amHwXw353ZwI7CHrC5fvV6/Wb/GrE8CyNTsZR8Cqi7NLRwIn/CRTTPbXdnCrk+YKZ&#10;VkgJLjVnXuMoO8MUtTAD6z8Dz/kZCmX2/gY8I0pldGkGW+0w/K56mi4tq1P+xYGT7mzBDvtjed5i&#10;DQ1Rce488HlKn58L/Ppbbn8AAAD//wMAUEsDBBQABgAIAAAAIQDFz68O2gAAAAoBAAAPAAAAZHJz&#10;L2Rvd25yZXYueG1sTI/BTsMwEETvSP0Haytxo3ZBIBLiVBGFWy+kcHfjJQmN15Httilfz3JA9Lgz&#10;o9l5xWpygzhiiL0nDcuFAoHUeNtTq+F9+3rzCCImQ9YMnlDDGSOsytlVYXLrT/SGxzq1gkso5kZD&#10;l9KYSxmbDp2JCz8isffpgzOJz9BKG8yJy90gb5V6kM70xB86M+Jzh82+PjgNdpNVVb1dr+3Xy0dQ&#10;39k5baZe6+v5VD2BSDil/zD8zufpUPKmnT+QjWLQwCCJ1XulmID9TKk7ELs/SZaFvEQofwAAAP//&#10;AwBQSwECLQAUAAYACAAAACEAtoM4kv4AAADhAQAAEwAAAAAAAAAAAAAAAAAAAAAAW0NvbnRlbnRf&#10;VHlwZXNdLnhtbFBLAQItABQABgAIAAAAIQA4/SH/1gAAAJQBAAALAAAAAAAAAAAAAAAAAC8BAABf&#10;cmVscy8ucmVsc1BLAQItABQABgAIAAAAIQABYzA2wAEAAN4DAAAOAAAAAAAAAAAAAAAAAC4CAABk&#10;cnMvZTJvRG9jLnhtbFBLAQItABQABgAIAAAAIQDFz68O2gAAAAoBAAAPAAAAAAAAAAAAAAAAABoE&#10;AABkcnMvZG93bnJldi54bWxQSwUGAAAAAAQABADzAAAAIQUAAAAA&#10;" o:allowoverlap="f" strokecolor="#2a5384">
              <v:stroke joinstyle="miter"/>
              <w10:wrap type="topAndBottom" anchory="page"/>
              <w10:anchorlock/>
            </v:line>
          </w:pict>
        </mc:Fallback>
      </mc:AlternateContent>
    </w:r>
    <w:r w:rsidRPr="00142647">
      <w:rPr>
        <w:color w:val="2A5384"/>
        <w:sz w:val="18"/>
        <w:szCs w:val="18"/>
      </w:rPr>
      <w:t>ul. ks. Ignacego Jana Skorupki 4, 00-546 Warszawa</w:t>
    </w:r>
  </w:p>
  <w:p w14:paraId="181CB218" w14:textId="77777777" w:rsidR="00677296" w:rsidRPr="006149ED" w:rsidRDefault="00677296" w:rsidP="00677296">
    <w:pPr>
      <w:pStyle w:val="Stopka"/>
      <w:rPr>
        <w:color w:val="2A5384"/>
        <w:sz w:val="18"/>
        <w:szCs w:val="18"/>
        <w:lang w:val="en-AU"/>
      </w:rPr>
    </w:pPr>
    <w:r w:rsidRPr="006149ED">
      <w:rPr>
        <w:color w:val="2A5384"/>
        <w:sz w:val="18"/>
        <w:szCs w:val="18"/>
        <w:lang w:val="en-AU"/>
      </w:rPr>
      <w:t>tel. 22 58 30 700, fax 22 58 30 589</w:t>
    </w:r>
  </w:p>
  <w:p w14:paraId="1FE90016" w14:textId="77777777" w:rsidR="00677296" w:rsidRPr="006149ED" w:rsidRDefault="00677296" w:rsidP="00677296">
    <w:pPr>
      <w:pStyle w:val="Stopka"/>
      <w:rPr>
        <w:color w:val="2A5384"/>
        <w:sz w:val="18"/>
        <w:szCs w:val="18"/>
        <w:lang w:val="en-AU"/>
      </w:rPr>
    </w:pPr>
    <w:r w:rsidRPr="006149ED">
      <w:rPr>
        <w:color w:val="2A5384"/>
        <w:sz w:val="18"/>
        <w:szCs w:val="18"/>
        <w:lang w:val="en-AU"/>
      </w:rPr>
      <w:t>e-mail: kancelaria@bfg.pl, www.bfg.pl</w:t>
    </w:r>
  </w:p>
  <w:p w14:paraId="3699E28D" w14:textId="77777777" w:rsidR="00677296" w:rsidRPr="006149ED" w:rsidRDefault="00677296">
    <w:pPr>
      <w:pStyle w:val="Stopka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BB03" w14:textId="77777777" w:rsidR="00B33547" w:rsidRDefault="00B33547" w:rsidP="00B703AF">
      <w:r>
        <w:separator/>
      </w:r>
    </w:p>
  </w:footnote>
  <w:footnote w:type="continuationSeparator" w:id="0">
    <w:p w14:paraId="11737AC1" w14:textId="77777777" w:rsidR="00B33547" w:rsidRDefault="00B33547" w:rsidP="00B703AF">
      <w:r>
        <w:continuationSeparator/>
      </w:r>
    </w:p>
  </w:footnote>
  <w:footnote w:id="1">
    <w:p w14:paraId="1C2F93D3" w14:textId="77777777" w:rsidR="00105D65" w:rsidRDefault="00105D65" w:rsidP="00105D6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77CAC">
        <w:t xml:space="preserve">W związku z wszczęciem w dniu 30 września 2022 r. przymusowej restrukturyzacji Getin Noble Banku S.A. i przeznaczeniem na ten cel środków z funduszy własnych BFG, w tym 6,28 mld zł ze środków zgromadzonych na funduszu przymusowej restrukturyzacji banków, wydłużeniu o 4 lata uległ termin na osiągnięcie poziomu docelowego (art. 296 ust. 5 ustawy o BFG), tj. do dnia 31 grudnia 2034 r. Dodatkowo odbudowa poziomu minimalnego, który został po raz pierwszy osiągnięty w trakcie 2022 r., powinna nastąpić w okresie nie dłuższym niż 6 lat (art. 296 ust. 8 ustawy o BFG oraz art. 102 ust. 3 akapit 1 </w:t>
      </w:r>
      <w:proofErr w:type="spellStart"/>
      <w:r w:rsidRPr="00177CAC">
        <w:t>zd</w:t>
      </w:r>
      <w:proofErr w:type="spellEnd"/>
      <w:r w:rsidRPr="00177CAC">
        <w:t>. 2 dyrektywy BRR).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AE70" w14:textId="34158B62" w:rsidR="006E552F" w:rsidRDefault="006E552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0" wp14:anchorId="05C505DE" wp14:editId="4FF627CE">
              <wp:simplePos x="0" y="0"/>
              <wp:positionH relativeFrom="margin">
                <wp:posOffset>2540</wp:posOffset>
              </wp:positionH>
              <wp:positionV relativeFrom="page">
                <wp:posOffset>1875790</wp:posOffset>
              </wp:positionV>
              <wp:extent cx="1033145" cy="0"/>
              <wp:effectExtent l="0" t="12700" r="20955" b="12700"/>
              <wp:wrapNone/>
              <wp:docPr id="18908896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3314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AD0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FBB994" id="Łącznik prosty 2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.2pt,147.7pt" to="81.5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uvwQEAAN8DAAAOAAAAZHJzL2Uyb0RvYy54bWysU8tu2zAQvBfoPxC815KcumgFy0EQw70E&#10;SdC0H0BTS4sAXyBZS/77LClZDtqiQIJcKHK5Mzs7XK2vB63IEXyQ1jS0WpSUgOG2lebQ0F8/d5++&#10;UhIiMy1T1kBDTxDo9ebjh3XvaljazqoWPEESE+reNbSL0dVFEXgHmoWFdWDwUlivWcSjPxStZz2y&#10;a1Usy/JL0VvfOm85hIDR7XhJN5lfCODxQYgAkaiGoraYV5/XfVqLzZrVB89cJ/kkg71BhWbSYNGZ&#10;assiI7+9/ItKS+5tsCIuuNWFFUJyyD1gN1X5RzdPHXOQe0FzgpttCu9Hy++Pt+bRow29C3Vwjz51&#10;MQiv0xf1kSGbdZrNgiESjsGqvLqqPq8o4ee74gJ0PsTvYDVJm4YqaVIfrGbHuxCxGKaeU1JYGdIj&#10;47dyVea0YJVsd1KpdBn8YX+rPDkyfMPdzbZcLdOzIcWLNDwpg8FLF3kXTwrGAj9AENkm3WOFNGAw&#10;0zLOwcRq4lUGsxNMoIQZOEn7H3DKT1DIw/ca8IzIla2JM1hLY/2/ZMfhLFmM+WcHxr6TBXvbnvL7&#10;ZmtwirJz08SnMX15zvDLf7l5BgAA//8DAFBLAwQUAAYACAAAACEASXgp19wAAAAIAQAADwAAAGRy&#10;cy9kb3ducmV2LnhtbEyPQUvDQBCF74L/YRnBi9hNo5Y2ZlNE1FM9mAheJ9lxE5qdDdlNm/57tyDo&#10;bWbe48338u1se3Gg0XeOFSwXCQjixumOjYLP6vV2DcIHZI29Y1JwIg/b4vIix0y7I3/QoQxGxBD2&#10;GSpoQxgyKX3TkkW/cANx1L7daDHEdTRSj3iM4baXaZKspMWO44cWB3puqdmXk1VAzfvX3tS7t5ND&#10;c1O9pFO1K0mp66v56RFEoDn8meGMH9GhiEy1m1h70Su4jz4F6eYhDmd5dbcEUf9eZJHL/wWKHwAA&#10;AP//AwBQSwECLQAUAAYACAAAACEAtoM4kv4AAADhAQAAEwAAAAAAAAAAAAAAAAAAAAAAW0NvbnRl&#10;bnRfVHlwZXNdLnhtbFBLAQItABQABgAIAAAAIQA4/SH/1gAAAJQBAAALAAAAAAAAAAAAAAAAAC8B&#10;AABfcmVscy8ucmVsc1BLAQItABQABgAIAAAAIQBsFGuvwQEAAN8DAAAOAAAAAAAAAAAAAAAAAC4C&#10;AABkcnMvZTJvRG9jLnhtbFBLAQItABQABgAIAAAAIQBJeCnX3AAAAAgBAAAPAAAAAAAAAAAAAAAA&#10;ABsEAABkcnMvZG93bnJldi54bWxQSwUGAAAAAAQABADzAAAAJAUAAAAA&#10;" o:allowoverlap="f" strokecolor="#fad052" strokeweight="1.5pt">
              <v:stroke joinstyle="miter"/>
              <w10:wrap anchorx="margin" anchory="page"/>
              <w10:anchorlock/>
            </v:line>
          </w:pict>
        </mc:Fallback>
      </mc:AlternateContent>
    </w:r>
    <w:r w:rsidR="004C0AB2">
      <w:rPr>
        <w:noProof/>
      </w:rPr>
      <w:drawing>
        <wp:anchor distT="0" distB="0" distL="114300" distR="114300" simplePos="0" relativeHeight="251665408" behindDoc="1" locked="1" layoutInCell="1" allowOverlap="0" wp14:anchorId="3B2DA04C" wp14:editId="15A15BEA">
          <wp:simplePos x="0" y="0"/>
          <wp:positionH relativeFrom="column">
            <wp:posOffset>0</wp:posOffset>
          </wp:positionH>
          <wp:positionV relativeFrom="page">
            <wp:posOffset>471805</wp:posOffset>
          </wp:positionV>
          <wp:extent cx="1749600" cy="388800"/>
          <wp:effectExtent l="0" t="0" r="3175" b="5080"/>
          <wp:wrapNone/>
          <wp:docPr id="1547639645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259693" name="Grafika 18612596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00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3DF56A" w14:textId="77777777" w:rsidR="006E552F" w:rsidRDefault="006E55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00F"/>
    <w:multiLevelType w:val="hybridMultilevel"/>
    <w:tmpl w:val="13609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63A96"/>
    <w:multiLevelType w:val="hybridMultilevel"/>
    <w:tmpl w:val="90AA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3168E"/>
    <w:multiLevelType w:val="hybridMultilevel"/>
    <w:tmpl w:val="DCF0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90202">
    <w:abstractNumId w:val="1"/>
  </w:num>
  <w:num w:numId="2" w16cid:durableId="1698702628">
    <w:abstractNumId w:val="0"/>
  </w:num>
  <w:num w:numId="3" w16cid:durableId="432554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03"/>
    <w:rsid w:val="000244BB"/>
    <w:rsid w:val="000607B7"/>
    <w:rsid w:val="0006242D"/>
    <w:rsid w:val="00092D09"/>
    <w:rsid w:val="000A429B"/>
    <w:rsid w:val="000D4521"/>
    <w:rsid w:val="000E0BEA"/>
    <w:rsid w:val="00102EE1"/>
    <w:rsid w:val="00105D65"/>
    <w:rsid w:val="00116514"/>
    <w:rsid w:val="00136754"/>
    <w:rsid w:val="00142647"/>
    <w:rsid w:val="001458E2"/>
    <w:rsid w:val="001902B4"/>
    <w:rsid w:val="001B1268"/>
    <w:rsid w:val="001B4BE9"/>
    <w:rsid w:val="001E239F"/>
    <w:rsid w:val="001F2C58"/>
    <w:rsid w:val="002114E7"/>
    <w:rsid w:val="00247BC9"/>
    <w:rsid w:val="0025522B"/>
    <w:rsid w:val="00293818"/>
    <w:rsid w:val="002B7567"/>
    <w:rsid w:val="002C4B07"/>
    <w:rsid w:val="002D512F"/>
    <w:rsid w:val="0030575C"/>
    <w:rsid w:val="00322129"/>
    <w:rsid w:val="00350B99"/>
    <w:rsid w:val="00384811"/>
    <w:rsid w:val="003A38F8"/>
    <w:rsid w:val="003F3557"/>
    <w:rsid w:val="003F3A71"/>
    <w:rsid w:val="00406013"/>
    <w:rsid w:val="00430061"/>
    <w:rsid w:val="004529F2"/>
    <w:rsid w:val="00460539"/>
    <w:rsid w:val="00485E00"/>
    <w:rsid w:val="00492011"/>
    <w:rsid w:val="00494C9B"/>
    <w:rsid w:val="004A01AD"/>
    <w:rsid w:val="004B178C"/>
    <w:rsid w:val="004C0AB2"/>
    <w:rsid w:val="004C6194"/>
    <w:rsid w:val="004E05AD"/>
    <w:rsid w:val="00544EEB"/>
    <w:rsid w:val="005767C4"/>
    <w:rsid w:val="005829D8"/>
    <w:rsid w:val="0059191E"/>
    <w:rsid w:val="005922EB"/>
    <w:rsid w:val="0059359B"/>
    <w:rsid w:val="005B6341"/>
    <w:rsid w:val="005D0231"/>
    <w:rsid w:val="005E5F5B"/>
    <w:rsid w:val="005F6058"/>
    <w:rsid w:val="006149ED"/>
    <w:rsid w:val="00622631"/>
    <w:rsid w:val="00636900"/>
    <w:rsid w:val="00677296"/>
    <w:rsid w:val="00684F9D"/>
    <w:rsid w:val="00690FA9"/>
    <w:rsid w:val="006B0962"/>
    <w:rsid w:val="006B4A8E"/>
    <w:rsid w:val="006E552F"/>
    <w:rsid w:val="00720B33"/>
    <w:rsid w:val="00734A7F"/>
    <w:rsid w:val="00771B03"/>
    <w:rsid w:val="0079341A"/>
    <w:rsid w:val="007A78CA"/>
    <w:rsid w:val="007F6EBC"/>
    <w:rsid w:val="008058AF"/>
    <w:rsid w:val="008515C0"/>
    <w:rsid w:val="00855EFA"/>
    <w:rsid w:val="00856EA1"/>
    <w:rsid w:val="008636F2"/>
    <w:rsid w:val="008939B4"/>
    <w:rsid w:val="008B450A"/>
    <w:rsid w:val="008F6934"/>
    <w:rsid w:val="009016DE"/>
    <w:rsid w:val="00925F03"/>
    <w:rsid w:val="00971FB0"/>
    <w:rsid w:val="009B339E"/>
    <w:rsid w:val="009C61AF"/>
    <w:rsid w:val="00A278E4"/>
    <w:rsid w:val="00A30E88"/>
    <w:rsid w:val="00A40AB2"/>
    <w:rsid w:val="00A631BF"/>
    <w:rsid w:val="00A75CB6"/>
    <w:rsid w:val="00A85586"/>
    <w:rsid w:val="00AA16C5"/>
    <w:rsid w:val="00AD3AC3"/>
    <w:rsid w:val="00AF0F2B"/>
    <w:rsid w:val="00B33547"/>
    <w:rsid w:val="00B47574"/>
    <w:rsid w:val="00B703AF"/>
    <w:rsid w:val="00B83ECA"/>
    <w:rsid w:val="00BD29BB"/>
    <w:rsid w:val="00C25B52"/>
    <w:rsid w:val="00CB2A78"/>
    <w:rsid w:val="00CD548F"/>
    <w:rsid w:val="00CF67E5"/>
    <w:rsid w:val="00D13BF2"/>
    <w:rsid w:val="00D563CA"/>
    <w:rsid w:val="00D71F5C"/>
    <w:rsid w:val="00DB018F"/>
    <w:rsid w:val="00E20FC3"/>
    <w:rsid w:val="00E60C99"/>
    <w:rsid w:val="00E677EE"/>
    <w:rsid w:val="00E8368F"/>
    <w:rsid w:val="00EE6838"/>
    <w:rsid w:val="00F10218"/>
    <w:rsid w:val="00F10553"/>
    <w:rsid w:val="00F44664"/>
    <w:rsid w:val="00F45D89"/>
    <w:rsid w:val="00F522D2"/>
    <w:rsid w:val="00FA4169"/>
    <w:rsid w:val="00FA7D48"/>
    <w:rsid w:val="00FD15C7"/>
    <w:rsid w:val="00FD3825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9DB63"/>
  <w15:chartTrackingRefBased/>
  <w15:docId w15:val="{4AEC9FFD-3B85-8241-A397-4648C0F4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BFG_akapit"/>
    <w:qFormat/>
    <w:rsid w:val="00102EE1"/>
    <w:pPr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D5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0B607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0B607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12F"/>
    <w:pPr>
      <w:keepNext/>
      <w:keepLines/>
      <w:spacing w:before="160" w:after="80"/>
      <w:outlineLvl w:val="2"/>
    </w:pPr>
    <w:rPr>
      <w:rFonts w:eastAsiaTheme="majorEastAsia" w:cstheme="majorBidi"/>
      <w:color w:val="F0B607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0B607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12F"/>
    <w:pPr>
      <w:keepNext/>
      <w:keepLines/>
      <w:spacing w:before="80" w:after="40"/>
      <w:outlineLvl w:val="4"/>
    </w:pPr>
    <w:rPr>
      <w:rFonts w:eastAsiaTheme="majorEastAsia" w:cstheme="majorBidi"/>
      <w:color w:val="F0B607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1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1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1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1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12F"/>
    <w:rPr>
      <w:rFonts w:asciiTheme="majorHAnsi" w:eastAsiaTheme="majorEastAsia" w:hAnsiTheme="majorHAnsi" w:cstheme="majorBidi"/>
      <w:color w:val="F0B607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12F"/>
    <w:rPr>
      <w:rFonts w:asciiTheme="majorHAnsi" w:eastAsiaTheme="majorEastAsia" w:hAnsiTheme="majorHAnsi" w:cstheme="majorBidi"/>
      <w:color w:val="F0B607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12F"/>
    <w:rPr>
      <w:rFonts w:eastAsiaTheme="majorEastAsia" w:cstheme="majorBidi"/>
      <w:color w:val="F0B607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12F"/>
    <w:rPr>
      <w:rFonts w:eastAsiaTheme="majorEastAsia" w:cstheme="majorBidi"/>
      <w:i/>
      <w:iCs/>
      <w:color w:val="F0B607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12F"/>
    <w:rPr>
      <w:rFonts w:eastAsiaTheme="majorEastAsia" w:cstheme="majorBidi"/>
      <w:color w:val="F0B607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1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1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1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1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1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1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1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1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12F"/>
    <w:rPr>
      <w:i/>
      <w:iCs/>
      <w:color w:val="F0B607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12F"/>
    <w:pPr>
      <w:pBdr>
        <w:top w:val="single" w:sz="4" w:space="10" w:color="F0B607" w:themeColor="accent1" w:themeShade="BF"/>
        <w:bottom w:val="single" w:sz="4" w:space="10" w:color="F0B607" w:themeColor="accent1" w:themeShade="BF"/>
      </w:pBdr>
      <w:spacing w:before="360" w:after="360"/>
      <w:ind w:left="864" w:right="864"/>
      <w:jc w:val="center"/>
    </w:pPr>
    <w:rPr>
      <w:i/>
      <w:iCs/>
      <w:color w:val="F0B607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12F"/>
    <w:rPr>
      <w:i/>
      <w:iCs/>
      <w:color w:val="F0B607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12F"/>
    <w:rPr>
      <w:b/>
      <w:bCs/>
      <w:smallCaps/>
      <w:color w:val="F0B607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0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3AF"/>
  </w:style>
  <w:style w:type="paragraph" w:styleId="Stopka">
    <w:name w:val="footer"/>
    <w:basedOn w:val="Normalny"/>
    <w:link w:val="StopkaZnak"/>
    <w:uiPriority w:val="99"/>
    <w:unhideWhenUsed/>
    <w:rsid w:val="00B70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3AF"/>
  </w:style>
  <w:style w:type="character" w:styleId="Hipercze">
    <w:name w:val="Hyperlink"/>
    <w:basedOn w:val="Domylnaczcionkaakapitu"/>
    <w:uiPriority w:val="99"/>
    <w:unhideWhenUsed/>
    <w:rsid w:val="00102EE1"/>
    <w:rPr>
      <w:color w:val="F392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EE1"/>
    <w:rPr>
      <w:color w:val="605E5C"/>
      <w:shd w:val="clear" w:color="auto" w:fill="E1DFDD"/>
    </w:rPr>
  </w:style>
  <w:style w:type="paragraph" w:customStyle="1" w:styleId="BFGadresat">
    <w:name w:val="BFG_adresat"/>
    <w:next w:val="Normalny"/>
    <w:qFormat/>
    <w:rsid w:val="00A75CB6"/>
    <w:rPr>
      <w:b/>
      <w:bCs/>
    </w:rPr>
  </w:style>
  <w:style w:type="paragraph" w:customStyle="1" w:styleId="BFGpodpis">
    <w:name w:val="BFG_podpis"/>
    <w:basedOn w:val="Normalny"/>
    <w:qFormat/>
    <w:rsid w:val="00102EE1"/>
    <w:rPr>
      <w:color w:val="ADADAD" w:themeColor="background2" w:themeShade="BF"/>
      <w:sz w:val="16"/>
      <w:szCs w:val="16"/>
    </w:rPr>
  </w:style>
  <w:style w:type="paragraph" w:customStyle="1" w:styleId="BFGstopka">
    <w:name w:val="BFG_stopka"/>
    <w:basedOn w:val="Stopka"/>
    <w:qFormat/>
    <w:rsid w:val="00102EE1"/>
    <w:rPr>
      <w:color w:val="2B5385"/>
      <w:sz w:val="18"/>
      <w:szCs w:val="18"/>
    </w:rPr>
  </w:style>
  <w:style w:type="paragraph" w:customStyle="1" w:styleId="BFGtekst">
    <w:name w:val="BFG_tekst"/>
    <w:basedOn w:val="Normalny"/>
    <w:link w:val="BFGtekstZnak"/>
    <w:rsid w:val="00494C9B"/>
    <w:pPr>
      <w:spacing w:after="200" w:line="276" w:lineRule="auto"/>
      <w:ind w:firstLine="709"/>
    </w:pPr>
    <w:rPr>
      <w:rFonts w:ascii="Calibri Light" w:hAnsi="Calibri Light" w:cs="Times New Roman"/>
      <w:kern w:val="0"/>
      <w:sz w:val="28"/>
      <w:szCs w:val="28"/>
      <w14:ligatures w14:val="none"/>
    </w:rPr>
  </w:style>
  <w:style w:type="character" w:customStyle="1" w:styleId="BFGtekstZnak">
    <w:name w:val="BFG_tekst Znak"/>
    <w:basedOn w:val="Domylnaczcionkaakapitu"/>
    <w:link w:val="BFGtekst"/>
    <w:rsid w:val="00494C9B"/>
    <w:rPr>
      <w:rFonts w:ascii="Calibri Light" w:hAnsi="Calibri Light" w:cs="Times New Roman"/>
      <w:kern w:val="0"/>
      <w:sz w:val="28"/>
      <w:szCs w:val="28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5829D8"/>
  </w:style>
  <w:style w:type="paragraph" w:customStyle="1" w:styleId="BFGtekstlt12">
    <w:name w:val="BFG_tekst_lt_12"/>
    <w:basedOn w:val="Normalny"/>
    <w:qFormat/>
    <w:rsid w:val="006B0962"/>
    <w:pPr>
      <w:spacing w:after="200"/>
    </w:pPr>
    <w:rPr>
      <w:rFonts w:ascii="Calibri Light" w:hAnsi="Calibri Light"/>
      <w:kern w:val="0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D65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D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5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BFG 2026">
  <a:themeElements>
    <a:clrScheme name="BFG">
      <a:dk1>
        <a:srgbClr val="000000"/>
      </a:dk1>
      <a:lt1>
        <a:srgbClr val="FFFFFF"/>
      </a:lt1>
      <a:dk2>
        <a:srgbClr val="2A5383"/>
      </a:dk2>
      <a:lt2>
        <a:srgbClr val="E8E8E8"/>
      </a:lt2>
      <a:accent1>
        <a:srgbClr val="FAD051"/>
      </a:accent1>
      <a:accent2>
        <a:srgbClr val="EDEDED"/>
      </a:accent2>
      <a:accent3>
        <a:srgbClr val="E53834"/>
      </a:accent3>
      <a:accent4>
        <a:srgbClr val="0090CC"/>
      </a:accent4>
      <a:accent5>
        <a:srgbClr val="00966D"/>
      </a:accent5>
      <a:accent6>
        <a:srgbClr val="E3D7C1"/>
      </a:accent6>
      <a:hlink>
        <a:srgbClr val="F39200"/>
      </a:hlink>
      <a:folHlink>
        <a:srgbClr val="9A597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Motyw BFG 2026" id="{5E89FCC9-2C00-4B4E-96B1-2A73E2D7FBFC}" vid="{7B892C2A-C857-4C55-B407-4D98CA6FC3C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2D09-D2EA-476B-B9A9-0158718C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Klimecki</dc:creator>
  <cp:keywords/>
  <dc:description/>
  <cp:lastModifiedBy>Bzymek Ewa</cp:lastModifiedBy>
  <cp:revision>12</cp:revision>
  <cp:lastPrinted>2025-12-03T07:11:00Z</cp:lastPrinted>
  <dcterms:created xsi:type="dcterms:W3CDTF">2026-01-29T11:52:00Z</dcterms:created>
  <dcterms:modified xsi:type="dcterms:W3CDTF">2026-02-24T09:58:00Z</dcterms:modified>
</cp:coreProperties>
</file>