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B6CDD" w14:textId="1D0825D8" w:rsidR="00AE3AEB" w:rsidRPr="001F2852" w:rsidRDefault="009B1466" w:rsidP="009B1466">
      <w:pPr>
        <w:spacing w:after="0" w:line="240" w:lineRule="auto"/>
        <w:ind w:left="4956"/>
        <w:jc w:val="right"/>
        <w:rPr>
          <w:rFonts w:eastAsia="Times New Roman" w:cstheme="minorHAnsi"/>
          <w:lang w:eastAsia="pl-PL"/>
        </w:rPr>
      </w:pPr>
      <w:bookmarkStart w:id="0" w:name="_GoBack"/>
      <w:bookmarkEnd w:id="0"/>
      <w:r w:rsidRPr="001F2852">
        <w:rPr>
          <w:rFonts w:eastAsia="Times New Roman" w:cstheme="minorHAnsi"/>
          <w:lang w:eastAsia="pl-PL"/>
        </w:rPr>
        <w:t xml:space="preserve">Warszawa, dnia </w:t>
      </w:r>
      <w:r w:rsidR="008E22EE">
        <w:rPr>
          <w:rFonts w:eastAsia="Times New Roman" w:cstheme="minorHAnsi"/>
          <w:lang w:eastAsia="pl-PL"/>
        </w:rPr>
        <w:t>20 lipca 2022 r.</w:t>
      </w:r>
    </w:p>
    <w:p w14:paraId="2C724ECF" w14:textId="5B5ED096" w:rsidR="00713939" w:rsidRPr="001F2852" w:rsidRDefault="00AE3AEB" w:rsidP="009B1466">
      <w:pPr>
        <w:keepNext/>
        <w:spacing w:after="0" w:line="240" w:lineRule="auto"/>
        <w:outlineLvl w:val="0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DGD.4</w:t>
      </w:r>
      <w:r w:rsidR="00C52F9F" w:rsidRPr="001F2852">
        <w:rPr>
          <w:rFonts w:eastAsia="Times New Roman" w:cstheme="minorHAnsi"/>
          <w:lang w:eastAsia="pl-PL"/>
        </w:rPr>
        <w:t>13</w:t>
      </w:r>
      <w:r w:rsidR="00854BCE">
        <w:rPr>
          <w:rFonts w:eastAsia="Times New Roman" w:cstheme="minorHAnsi"/>
          <w:lang w:eastAsia="pl-PL"/>
        </w:rPr>
        <w:t>.5</w:t>
      </w:r>
      <w:r w:rsidRPr="001F2852">
        <w:rPr>
          <w:rFonts w:eastAsia="Times New Roman" w:cstheme="minorHAnsi"/>
          <w:lang w:eastAsia="pl-PL"/>
        </w:rPr>
        <w:t>.</w:t>
      </w:r>
      <w:r w:rsidR="00854BCE">
        <w:rPr>
          <w:rFonts w:eastAsia="Times New Roman" w:cstheme="minorHAnsi"/>
          <w:lang w:eastAsia="pl-PL"/>
        </w:rPr>
        <w:t>2022</w:t>
      </w:r>
    </w:p>
    <w:p w14:paraId="23D28FE0" w14:textId="77777777" w:rsidR="009B1466" w:rsidRPr="00213365" w:rsidRDefault="009B1466" w:rsidP="00213365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002C49CA" w14:textId="77777777" w:rsidR="00213365" w:rsidRPr="00213365" w:rsidRDefault="00213365" w:rsidP="00213365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4C02BCBD" w14:textId="082DCEC7" w:rsidR="00AB2D95" w:rsidRDefault="00AE3AEB" w:rsidP="00AB2D95">
      <w:pPr>
        <w:spacing w:after="0"/>
        <w:ind w:firstLine="709"/>
        <w:jc w:val="center"/>
        <w:rPr>
          <w:rFonts w:eastAsia="Times New Roman" w:cstheme="minorHAnsi"/>
          <w:b/>
          <w:color w:val="000000"/>
          <w:lang w:eastAsia="pl-PL"/>
        </w:rPr>
      </w:pPr>
      <w:r w:rsidRPr="001F2852">
        <w:rPr>
          <w:rFonts w:eastAsia="Times New Roman" w:cstheme="minorHAnsi"/>
          <w:b/>
          <w:color w:val="000000"/>
          <w:lang w:eastAsia="pl-PL"/>
        </w:rPr>
        <w:t xml:space="preserve">Komunikat Bankowego Funduszu Gwarancyjnego dla byłych klientów </w:t>
      </w:r>
      <w:r w:rsidRPr="001F2852">
        <w:rPr>
          <w:rFonts w:eastAsia="Times New Roman" w:cstheme="minorHAnsi"/>
          <w:b/>
          <w:color w:val="000000"/>
          <w:lang w:eastAsia="pl-PL"/>
        </w:rPr>
        <w:br/>
        <w:t xml:space="preserve">Spółdzielczej Kasy Oszczędnościowo-Kredytowej </w:t>
      </w:r>
      <w:r w:rsidR="002B38EF">
        <w:rPr>
          <w:rFonts w:eastAsia="Times New Roman" w:cstheme="minorHAnsi"/>
          <w:b/>
          <w:color w:val="000000"/>
          <w:lang w:eastAsia="pl-PL"/>
        </w:rPr>
        <w:t xml:space="preserve">„Nike” </w:t>
      </w:r>
      <w:r w:rsidRPr="001F2852">
        <w:rPr>
          <w:rFonts w:eastAsia="Times New Roman" w:cstheme="minorHAnsi"/>
          <w:b/>
          <w:color w:val="000000"/>
          <w:lang w:eastAsia="pl-PL"/>
        </w:rPr>
        <w:t>(obecnie w upadłości).</w:t>
      </w:r>
    </w:p>
    <w:p w14:paraId="277E9665" w14:textId="77777777" w:rsidR="00213365" w:rsidRPr="00213365" w:rsidRDefault="00213365" w:rsidP="00213365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558C211F" w14:textId="77777777" w:rsidR="00AB2D95" w:rsidRPr="00213365" w:rsidRDefault="00AB2D95" w:rsidP="00213365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7B8BE233" w14:textId="12B9015F" w:rsidR="00AE3AEB" w:rsidRPr="0055735D" w:rsidRDefault="00AE3AEB" w:rsidP="00AE3AEB">
      <w:pPr>
        <w:spacing w:after="0"/>
        <w:ind w:firstLine="708"/>
        <w:jc w:val="both"/>
        <w:rPr>
          <w:rFonts w:eastAsia="Times New Roman" w:cstheme="minorHAnsi"/>
          <w:b/>
          <w:color w:val="000000"/>
          <w:lang w:eastAsia="pl-PL"/>
        </w:rPr>
      </w:pPr>
      <w:r w:rsidRPr="001F2852">
        <w:rPr>
          <w:rFonts w:eastAsia="Times New Roman" w:cstheme="minorHAnsi"/>
          <w:color w:val="000000"/>
          <w:lang w:eastAsia="pl-PL"/>
        </w:rPr>
        <w:t xml:space="preserve">Z dniem </w:t>
      </w:r>
      <w:r w:rsidR="002B38EF">
        <w:rPr>
          <w:rFonts w:eastAsia="Times New Roman" w:cstheme="minorHAnsi"/>
          <w:color w:val="000000"/>
          <w:lang w:eastAsia="pl-PL"/>
        </w:rPr>
        <w:t>2 czerwca</w:t>
      </w:r>
      <w:r w:rsidRPr="001F2852">
        <w:rPr>
          <w:rFonts w:eastAsia="Times New Roman" w:cstheme="minorHAnsi"/>
          <w:color w:val="000000"/>
          <w:lang w:eastAsia="pl-PL"/>
        </w:rPr>
        <w:t xml:space="preserve"> 2017 r. Komisja Nadzoru Finansowego zawiesiła działalność Spółdzielczej Kasy Oszczędnościowo-Kredytowej </w:t>
      </w:r>
      <w:r w:rsidR="002B38EF">
        <w:rPr>
          <w:rFonts w:eastAsia="Times New Roman" w:cstheme="minorHAnsi"/>
          <w:color w:val="000000"/>
          <w:lang w:eastAsia="pl-PL"/>
        </w:rPr>
        <w:t xml:space="preserve">„Nike” </w:t>
      </w:r>
      <w:r w:rsidRPr="001F2852">
        <w:rPr>
          <w:rFonts w:eastAsia="Times New Roman" w:cstheme="minorHAnsi"/>
          <w:color w:val="000000"/>
          <w:lang w:eastAsia="pl-PL"/>
        </w:rPr>
        <w:t xml:space="preserve">z siedzibą w </w:t>
      </w:r>
      <w:r w:rsidR="002B38EF">
        <w:rPr>
          <w:rFonts w:eastAsia="Times New Roman" w:cstheme="minorHAnsi"/>
          <w:color w:val="000000"/>
          <w:lang w:eastAsia="pl-PL"/>
        </w:rPr>
        <w:t>Warszawie</w:t>
      </w:r>
      <w:r w:rsidRPr="001F2852">
        <w:rPr>
          <w:rFonts w:eastAsia="Times New Roman" w:cstheme="minorHAnsi"/>
          <w:color w:val="000000"/>
          <w:lang w:eastAsia="pl-PL"/>
        </w:rPr>
        <w:t xml:space="preserve"> („SKOK</w:t>
      </w:r>
      <w:r w:rsidR="002B38EF">
        <w:rPr>
          <w:rFonts w:eastAsia="Times New Roman" w:cstheme="minorHAnsi"/>
          <w:color w:val="000000"/>
          <w:lang w:eastAsia="pl-PL"/>
        </w:rPr>
        <w:t xml:space="preserve"> „Nike”</w:t>
      </w:r>
      <w:r w:rsidRPr="001F2852">
        <w:rPr>
          <w:rFonts w:eastAsia="Times New Roman" w:cstheme="minorHAnsi"/>
          <w:color w:val="000000"/>
          <w:lang w:eastAsia="pl-PL"/>
        </w:rPr>
        <w:t xml:space="preserve">”, „Kasa”) oraz wystąpiła z wnioskiem do Sądu Rejonowego </w:t>
      </w:r>
      <w:r w:rsidR="002B38EF">
        <w:rPr>
          <w:rFonts w:eastAsia="Times New Roman" w:cstheme="minorHAnsi"/>
          <w:color w:val="000000"/>
          <w:lang w:eastAsia="pl-PL"/>
        </w:rPr>
        <w:t>dla m.st. Warszawy</w:t>
      </w:r>
      <w:r w:rsidRPr="001F2852">
        <w:rPr>
          <w:rFonts w:eastAsia="Times New Roman" w:cstheme="minorHAnsi"/>
          <w:color w:val="000000"/>
          <w:lang w:eastAsia="pl-PL"/>
        </w:rPr>
        <w:t xml:space="preserve"> </w:t>
      </w:r>
      <w:r w:rsidR="00D94B30">
        <w:rPr>
          <w:rFonts w:eastAsia="Times New Roman" w:cstheme="minorHAnsi"/>
          <w:color w:val="000000"/>
          <w:lang w:eastAsia="pl-PL"/>
        </w:rPr>
        <w:t>w Warszawie o </w:t>
      </w:r>
      <w:r w:rsidRPr="001F2852">
        <w:rPr>
          <w:rFonts w:eastAsia="Times New Roman" w:cstheme="minorHAnsi"/>
          <w:color w:val="000000"/>
          <w:lang w:eastAsia="pl-PL"/>
        </w:rPr>
        <w:t xml:space="preserve">ogłoszenie jej upadłości. W następstwie ww. decyzji 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z dniem </w:t>
      </w:r>
      <w:r w:rsidR="002B38EF">
        <w:rPr>
          <w:rFonts w:eastAsia="Times New Roman" w:cstheme="minorHAnsi"/>
          <w:b/>
          <w:color w:val="000000"/>
          <w:lang w:eastAsia="pl-PL"/>
        </w:rPr>
        <w:t>2 czerwca</w:t>
      </w:r>
      <w:r w:rsidR="008D7193">
        <w:rPr>
          <w:rFonts w:eastAsia="Times New Roman" w:cstheme="minorHAnsi"/>
          <w:b/>
          <w:color w:val="000000"/>
          <w:lang w:eastAsia="pl-PL"/>
        </w:rPr>
        <w:t xml:space="preserve"> 2017 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r. nastąpiło spełnienie warunku gwarancji w rozumieniu </w:t>
      </w:r>
      <w:r w:rsidRPr="001F2852">
        <w:rPr>
          <w:rFonts w:eastAsia="Times New Roman" w:cstheme="minorHAnsi"/>
          <w:b/>
          <w:i/>
          <w:color w:val="000000"/>
          <w:lang w:eastAsia="pl-PL"/>
        </w:rPr>
        <w:t xml:space="preserve">ustawy z dnia 10 czerwca 2016 r. o </w:t>
      </w:r>
      <w:r w:rsidR="001F2852" w:rsidRPr="001F2852">
        <w:rPr>
          <w:rFonts w:eastAsia="Times New Roman" w:cstheme="minorHAnsi"/>
          <w:b/>
          <w:i/>
          <w:color w:val="000000"/>
          <w:lang w:eastAsia="pl-PL"/>
        </w:rPr>
        <w:t> </w:t>
      </w:r>
      <w:r w:rsidRPr="001F2852">
        <w:rPr>
          <w:rFonts w:eastAsia="Times New Roman" w:cstheme="minorHAnsi"/>
          <w:b/>
          <w:i/>
          <w:color w:val="000000"/>
          <w:lang w:eastAsia="pl-PL"/>
        </w:rPr>
        <w:t>Bankowym Funduszu Gwarancyjnym, systemie gwarantowania depozytów oraz przymusowej restrukturyzacji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 (Dz. U. z 2022 r. poz. 793, z </w:t>
      </w:r>
      <w:proofErr w:type="spellStart"/>
      <w:r w:rsidRPr="001F2852">
        <w:rPr>
          <w:rFonts w:eastAsia="Times New Roman" w:cstheme="minorHAnsi"/>
          <w:b/>
          <w:color w:val="000000"/>
          <w:lang w:eastAsia="pl-PL"/>
        </w:rPr>
        <w:t>późn</w:t>
      </w:r>
      <w:proofErr w:type="spellEnd"/>
      <w:r w:rsidRPr="001F2852">
        <w:rPr>
          <w:rFonts w:eastAsia="Times New Roman" w:cstheme="minorHAnsi"/>
          <w:b/>
          <w:color w:val="000000"/>
          <w:lang w:eastAsia="pl-PL"/>
        </w:rPr>
        <w:t>. zm.) wobec SKOK</w:t>
      </w:r>
      <w:r w:rsidR="002B38EF">
        <w:rPr>
          <w:rFonts w:eastAsia="Times New Roman" w:cstheme="minorHAnsi"/>
          <w:b/>
          <w:color w:val="000000"/>
          <w:lang w:eastAsia="pl-PL"/>
        </w:rPr>
        <w:t xml:space="preserve"> „Nike”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, </w:t>
      </w:r>
      <w:r w:rsidR="004F4FE6" w:rsidRPr="001F2852">
        <w:rPr>
          <w:rFonts w:eastAsia="Times New Roman" w:cstheme="minorHAnsi"/>
          <w:b/>
          <w:color w:val="000000"/>
          <w:lang w:eastAsia="pl-PL"/>
        </w:rPr>
        <w:t>co oznaczało rozpoczęcie</w:t>
      </w:r>
      <w:r w:rsidR="0055735D">
        <w:rPr>
          <w:rFonts w:eastAsia="Times New Roman" w:cstheme="minorHAnsi"/>
          <w:b/>
          <w:color w:val="000000"/>
          <w:lang w:eastAsia="pl-PL"/>
        </w:rPr>
        <w:t xml:space="preserve"> przez </w:t>
      </w:r>
      <w:r w:rsidR="0055735D" w:rsidRPr="0055735D">
        <w:rPr>
          <w:rFonts w:eastAsia="Times New Roman" w:cstheme="minorHAnsi"/>
          <w:b/>
          <w:color w:val="000000"/>
          <w:lang w:eastAsia="pl-PL"/>
        </w:rPr>
        <w:t>Bankowy Fundusz Gwarancyjny („BFG”)</w:t>
      </w:r>
      <w:r w:rsidR="0055735D">
        <w:rPr>
          <w:rFonts w:eastAsia="Times New Roman" w:cstheme="minorHAnsi"/>
          <w:b/>
          <w:color w:val="000000"/>
          <w:lang w:eastAsia="pl-PL"/>
        </w:rPr>
        <w:t xml:space="preserve"> wypłat środków gwarantowanych na rzecz deponentów z tytułu środków </w:t>
      </w:r>
      <w:r w:rsidRPr="001F2852">
        <w:rPr>
          <w:rFonts w:eastAsia="Times New Roman" w:cstheme="minorHAnsi"/>
          <w:b/>
          <w:color w:val="000000"/>
          <w:lang w:eastAsia="pl-PL"/>
        </w:rPr>
        <w:t>pieniężnych zgromadzonych przez nich w tej Kasie</w:t>
      </w:r>
      <w:r w:rsidRPr="001F2852">
        <w:rPr>
          <w:rFonts w:eastAsia="Times New Roman" w:cstheme="minorHAnsi"/>
          <w:color w:val="000000"/>
          <w:lang w:eastAsia="pl-PL"/>
        </w:rPr>
        <w:t>.</w:t>
      </w:r>
    </w:p>
    <w:p w14:paraId="5233E12A" w14:textId="2209C16E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</w:p>
    <w:p w14:paraId="4D7CE2EE" w14:textId="6A2C8D8A" w:rsidR="009E4C49" w:rsidRPr="001F2852" w:rsidRDefault="00AE3AEB" w:rsidP="00F05332">
      <w:pPr>
        <w:spacing w:after="0"/>
        <w:ind w:firstLine="708"/>
        <w:jc w:val="both"/>
        <w:rPr>
          <w:rFonts w:eastAsia="Times New Roman" w:cstheme="minorHAnsi"/>
          <w:color w:val="000000"/>
          <w:lang w:eastAsia="pl-PL"/>
        </w:rPr>
      </w:pPr>
      <w:r w:rsidRPr="001F2852">
        <w:rPr>
          <w:rFonts w:eastAsia="Times New Roman" w:cstheme="minorHAnsi"/>
          <w:b/>
          <w:color w:val="000000"/>
          <w:lang w:eastAsia="pl-PL"/>
        </w:rPr>
        <w:t xml:space="preserve">Wypłaty środków gwarantowanych z tytułu spełnienia warunku gwarancji wobec SKOK </w:t>
      </w:r>
      <w:r w:rsidR="002B38EF">
        <w:rPr>
          <w:rFonts w:eastAsia="Times New Roman" w:cstheme="minorHAnsi"/>
          <w:b/>
          <w:color w:val="000000"/>
          <w:lang w:eastAsia="pl-PL"/>
        </w:rPr>
        <w:t xml:space="preserve">„Nike” </w:t>
      </w:r>
      <w:r w:rsidRPr="001F2852">
        <w:rPr>
          <w:rFonts w:eastAsia="Times New Roman" w:cstheme="minorHAnsi"/>
          <w:b/>
          <w:color w:val="000000"/>
          <w:lang w:eastAsia="pl-PL"/>
        </w:rPr>
        <w:t>co do zasady będą realizowane do 2 stycznia 2023 r.</w:t>
      </w:r>
      <w:r w:rsidR="003A2605" w:rsidRPr="001F2852">
        <w:rPr>
          <w:rStyle w:val="Odwoanieprzypisudolnego"/>
          <w:rFonts w:eastAsia="Times New Roman" w:cstheme="minorHAnsi"/>
          <w:color w:val="000000"/>
          <w:lang w:eastAsia="pl-PL"/>
        </w:rPr>
        <w:footnoteReference w:customMarkFollows="1" w:id="1"/>
        <w:t>*</w:t>
      </w:r>
      <w:r w:rsidRPr="001F2852">
        <w:rPr>
          <w:rFonts w:eastAsia="Times New Roman" w:cstheme="minorHAnsi"/>
          <w:color w:val="000000"/>
          <w:lang w:eastAsia="pl-PL"/>
        </w:rPr>
        <w:t>,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>ponieważ z</w:t>
      </w:r>
      <w:r w:rsidR="00DF51CC">
        <w:rPr>
          <w:rFonts w:eastAsia="Times New Roman" w:cstheme="minorHAnsi"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 xml:space="preserve">upływem tego </w:t>
      </w:r>
      <w:r w:rsidR="004E34A7" w:rsidRPr="001F2852">
        <w:rPr>
          <w:rFonts w:eastAsia="Times New Roman" w:cstheme="minorHAnsi"/>
          <w:color w:val="000000"/>
          <w:lang w:eastAsia="pl-PL"/>
        </w:rPr>
        <w:t xml:space="preserve">terminu </w:t>
      </w:r>
      <w:r w:rsidRPr="001F2852">
        <w:rPr>
          <w:rFonts w:eastAsia="Times New Roman" w:cstheme="minorHAnsi"/>
          <w:color w:val="000000"/>
          <w:lang w:eastAsia="pl-PL"/>
        </w:rPr>
        <w:t>roszczenia deponentów Kasy z tytułu gwarancji ule</w:t>
      </w:r>
      <w:r w:rsidR="00902743">
        <w:rPr>
          <w:rFonts w:eastAsia="Times New Roman" w:cstheme="minorHAnsi"/>
          <w:color w:val="000000"/>
          <w:lang w:eastAsia="pl-PL"/>
        </w:rPr>
        <w:t xml:space="preserve">gną przedawnieniu (art. 24 ust. </w:t>
      </w:r>
      <w:r w:rsidRPr="001F2852">
        <w:rPr>
          <w:rFonts w:eastAsia="Times New Roman" w:cstheme="minorHAnsi"/>
          <w:color w:val="000000"/>
          <w:lang w:eastAsia="pl-PL"/>
        </w:rPr>
        <w:t xml:space="preserve">8 ustawy </w:t>
      </w:r>
      <w:r w:rsidR="004E34A7" w:rsidRPr="001F2852">
        <w:rPr>
          <w:rFonts w:eastAsia="Times New Roman" w:cstheme="minorHAnsi"/>
          <w:color w:val="000000"/>
          <w:lang w:eastAsia="pl-PL"/>
        </w:rPr>
        <w:t>z dnia 10 czerwca 2016 r.</w:t>
      </w:r>
      <w:r w:rsidR="004E34A7" w:rsidRPr="001F2852">
        <w:rPr>
          <w:rFonts w:eastAsia="Times New Roman" w:cstheme="minorHAnsi"/>
          <w:b/>
          <w:i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>o</w:t>
      </w:r>
      <w:r w:rsidR="00DF51CC">
        <w:rPr>
          <w:rFonts w:eastAsia="Times New Roman" w:cstheme="minorHAnsi"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>Bankowym Funduszu Gwarancyjnym, systemie gwarantowania depozytów oraz przymusowej restrukturyzacji w</w:t>
      </w:r>
      <w:r w:rsidR="00DF51CC">
        <w:rPr>
          <w:rFonts w:eastAsia="Times New Roman" w:cstheme="minorHAnsi"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color w:val="000000"/>
          <w:lang w:eastAsia="pl-PL"/>
        </w:rPr>
        <w:t>związku z art. 115 i 118 Kodeksu cywilnego).</w:t>
      </w:r>
    </w:p>
    <w:p w14:paraId="3FE3705B" w14:textId="77777777" w:rsidR="00F05332" w:rsidRPr="001F2852" w:rsidRDefault="00F05332" w:rsidP="00F0533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2AF66BD1" w14:textId="166F6CD9" w:rsidR="004E34A7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Klienci SKOK</w:t>
      </w:r>
      <w:r w:rsidR="002B38EF">
        <w:rPr>
          <w:rFonts w:eastAsia="Times New Roman" w:cstheme="minorHAnsi"/>
          <w:lang w:eastAsia="pl-PL"/>
        </w:rPr>
        <w:t xml:space="preserve"> „Nike”</w:t>
      </w:r>
      <w:r w:rsidRPr="001F2852">
        <w:rPr>
          <w:rFonts w:eastAsia="Times New Roman" w:cstheme="minorHAnsi"/>
          <w:lang w:eastAsia="pl-PL"/>
        </w:rPr>
        <w:t>, którzy nie odebrali należnych im środków gwarantowanych mogą złożyć dyspozycję co do sposobu ich wypłaty przez Bankowy Fundusz Gwarancyjny</w:t>
      </w:r>
      <w:r w:rsidR="004E34A7" w:rsidRPr="001F2852">
        <w:rPr>
          <w:rFonts w:eastAsia="Times New Roman" w:cstheme="minorHAnsi"/>
          <w:lang w:eastAsia="pl-PL"/>
        </w:rPr>
        <w:t>:</w:t>
      </w:r>
    </w:p>
    <w:p w14:paraId="11B1603A" w14:textId="0E51ABB0" w:rsidR="004E34A7" w:rsidRPr="001F2852" w:rsidRDefault="00AE3AEB" w:rsidP="00AB2D95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osobiście w siedzibie BFG w Warszawie bądź</w:t>
      </w:r>
    </w:p>
    <w:p w14:paraId="1890EB59" w14:textId="2B3141BD" w:rsidR="004E34A7" w:rsidRPr="001F2852" w:rsidRDefault="00AE3AEB" w:rsidP="00AB2D95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korespondencyjnie, z tym że t</w:t>
      </w:r>
      <w:r w:rsidR="004E34A7" w:rsidRPr="001F2852">
        <w:rPr>
          <w:rFonts w:eastAsia="Times New Roman" w:cstheme="minorHAnsi"/>
          <w:lang w:eastAsia="pl-PL"/>
        </w:rPr>
        <w:t>en sposób wypłaty dotyczy</w:t>
      </w:r>
      <w:r w:rsidRPr="001F2852">
        <w:rPr>
          <w:rFonts w:eastAsia="Times New Roman" w:cstheme="minorHAnsi"/>
          <w:lang w:eastAsia="pl-PL"/>
        </w:rPr>
        <w:t xml:space="preserve"> środków w kwocie nieprzekraczającej 100 000 </w:t>
      </w:r>
      <w:r w:rsidRPr="00AE0BF0">
        <w:rPr>
          <w:rFonts w:eastAsia="Times New Roman" w:cstheme="minorHAnsi"/>
          <w:lang w:eastAsia="pl-PL"/>
        </w:rPr>
        <w:t>zł</w:t>
      </w:r>
      <w:r w:rsidRPr="001F2852">
        <w:rPr>
          <w:rFonts w:eastAsia="Times New Roman" w:cstheme="minorHAnsi"/>
          <w:lang w:eastAsia="pl-PL"/>
        </w:rPr>
        <w:t xml:space="preserve">. </w:t>
      </w:r>
    </w:p>
    <w:p w14:paraId="41D71A27" w14:textId="5D8E6DCC" w:rsidR="00AE3AEB" w:rsidRPr="001F2852" w:rsidRDefault="00AE3AEB" w:rsidP="00CC5068">
      <w:pPr>
        <w:spacing w:after="0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 xml:space="preserve">W przypadku ubiegania się o odbiór środków gwarantowanych drogą korespondencyjną konieczne jest przesłanie wypełnionego formularza wniosku o wypłatę (na adres: ul. ks. Ignacego Skorupki 4, 00-546 Warszawa). Zgodność danych osobowych oraz własnoręczność podpisu </w:t>
      </w:r>
      <w:r w:rsidR="00DF51CC">
        <w:rPr>
          <w:rFonts w:eastAsia="Times New Roman" w:cstheme="minorHAnsi"/>
          <w:lang w:eastAsia="pl-PL"/>
        </w:rPr>
        <w:br/>
      </w:r>
      <w:r w:rsidRPr="001F2852">
        <w:rPr>
          <w:rFonts w:eastAsia="Times New Roman" w:cstheme="minorHAnsi"/>
          <w:lang w:eastAsia="pl-PL"/>
        </w:rPr>
        <w:t xml:space="preserve">na wniosku osoby ubiegającej się o wypłatę </w:t>
      </w:r>
      <w:r w:rsidR="004E34A7" w:rsidRPr="001F2852">
        <w:rPr>
          <w:rFonts w:eastAsia="Times New Roman" w:cstheme="minorHAnsi"/>
          <w:lang w:eastAsia="pl-PL"/>
        </w:rPr>
        <w:t xml:space="preserve">w powyższy sposób </w:t>
      </w:r>
      <w:r w:rsidRPr="001F2852">
        <w:rPr>
          <w:rFonts w:eastAsia="Times New Roman" w:cstheme="minorHAnsi"/>
          <w:lang w:eastAsia="pl-PL"/>
        </w:rPr>
        <w:t>powinna zostać poświadczona przez jedną z następujących osób: notariusza, wójta (burmistrza, prezydenta miasta) albo syndyka masy upadłości SKOK</w:t>
      </w:r>
      <w:r w:rsidR="007E3296">
        <w:rPr>
          <w:rFonts w:eastAsia="Times New Roman" w:cstheme="minorHAnsi"/>
          <w:lang w:eastAsia="pl-PL"/>
        </w:rPr>
        <w:t xml:space="preserve"> „Nike”</w:t>
      </w:r>
      <w:r w:rsidRPr="001F2852">
        <w:rPr>
          <w:rFonts w:eastAsia="Times New Roman" w:cstheme="minorHAnsi"/>
          <w:lang w:eastAsia="pl-PL"/>
        </w:rPr>
        <w:t xml:space="preserve">. Wniosek wystawiany poza granicami Rzeczypospolitej Polskiej </w:t>
      </w:r>
      <w:r w:rsidR="007E3296">
        <w:rPr>
          <w:rFonts w:eastAsia="Times New Roman" w:cstheme="minorHAnsi"/>
          <w:lang w:eastAsia="pl-PL"/>
        </w:rPr>
        <w:br/>
      </w:r>
      <w:r w:rsidR="007E3296">
        <w:rPr>
          <w:rFonts w:eastAsia="Times New Roman" w:cstheme="minorHAnsi"/>
          <w:lang w:eastAsia="pl-PL"/>
        </w:rPr>
        <w:br/>
      </w:r>
      <w:r w:rsidRPr="001F2852">
        <w:rPr>
          <w:rFonts w:eastAsia="Times New Roman" w:cstheme="minorHAnsi"/>
          <w:lang w:eastAsia="pl-PL"/>
        </w:rPr>
        <w:lastRenderedPageBreak/>
        <w:t>w zakresie zgodności danych osobowych wnioskodawcy oraz własnoręczności jego podpisu powinien być potwierdzony przez polską placówkę dyplomatyczną lub konsularną (legalizacja) lub – w przypadku państwa będącego stroną</w:t>
      </w:r>
      <w:r w:rsidR="00902743">
        <w:rPr>
          <w:rFonts w:eastAsia="Times New Roman" w:cstheme="minorHAnsi"/>
          <w:lang w:eastAsia="pl-PL"/>
        </w:rPr>
        <w:t xml:space="preserve"> </w:t>
      </w:r>
      <w:r w:rsidR="00902743" w:rsidRPr="00CC5068">
        <w:rPr>
          <w:rFonts w:eastAsia="Times New Roman" w:cstheme="minorHAnsi"/>
          <w:lang w:eastAsia="pl-PL"/>
        </w:rPr>
        <w:t xml:space="preserve">Konwencji Haskiej z dnia 5 października 1961 r. </w:t>
      </w:r>
      <w:r w:rsidRPr="001F2852">
        <w:rPr>
          <w:rFonts w:eastAsia="Times New Roman" w:cstheme="minorHAnsi"/>
          <w:lang w:eastAsia="pl-PL"/>
        </w:rPr>
        <w:t>znoszącej wymóg legalizacji zagranicznych dokumentów urzędowych – notariusza miejscowego</w:t>
      </w:r>
      <w:r w:rsidRPr="009D2C56">
        <w:rPr>
          <w:rFonts w:eastAsia="Times New Roman" w:cstheme="minorHAnsi"/>
          <w:lang w:eastAsia="pl-PL"/>
        </w:rPr>
        <w:t xml:space="preserve">. </w:t>
      </w:r>
      <w:r w:rsidR="0037211A" w:rsidRPr="009D2C56">
        <w:rPr>
          <w:rFonts w:eastAsia="Times New Roman" w:cstheme="minorHAnsi"/>
          <w:lang w:eastAsia="pl-PL"/>
        </w:rPr>
        <w:t>Do wnios</w:t>
      </w:r>
      <w:r w:rsidRPr="009D2C56">
        <w:rPr>
          <w:rFonts w:eastAsia="Times New Roman" w:cstheme="minorHAnsi"/>
          <w:lang w:eastAsia="pl-PL"/>
        </w:rPr>
        <w:t>k</w:t>
      </w:r>
      <w:r w:rsidR="0037211A" w:rsidRPr="009D2C56">
        <w:rPr>
          <w:rFonts w:eastAsia="Times New Roman" w:cstheme="minorHAnsi"/>
          <w:lang w:eastAsia="pl-PL"/>
        </w:rPr>
        <w:t>u poświadczonego</w:t>
      </w:r>
      <w:r w:rsidRPr="009D2C56">
        <w:rPr>
          <w:rFonts w:eastAsia="Times New Roman" w:cstheme="minorHAnsi"/>
          <w:lang w:eastAsia="pl-PL"/>
        </w:rPr>
        <w:t xml:space="preserve"> przez notariusza miejscowego </w:t>
      </w:r>
      <w:r w:rsidR="0037211A" w:rsidRPr="009D2C56">
        <w:rPr>
          <w:rFonts w:eastAsia="Times New Roman" w:cstheme="minorHAnsi"/>
          <w:lang w:eastAsia="pl-PL"/>
        </w:rPr>
        <w:t xml:space="preserve">należy dołączyć </w:t>
      </w:r>
      <w:r w:rsidRPr="009D2C56">
        <w:rPr>
          <w:rFonts w:eastAsia="Times New Roman" w:cstheme="minorHAnsi"/>
          <w:lang w:eastAsia="pl-PL"/>
        </w:rPr>
        <w:t xml:space="preserve">dokument </w:t>
      </w:r>
      <w:proofErr w:type="spellStart"/>
      <w:r w:rsidRPr="009D2C56">
        <w:rPr>
          <w:rFonts w:eastAsia="Times New Roman" w:cstheme="minorHAnsi"/>
          <w:lang w:eastAsia="pl-PL"/>
        </w:rPr>
        <w:t>apostille</w:t>
      </w:r>
      <w:proofErr w:type="spellEnd"/>
      <w:r w:rsidRPr="009D2C56">
        <w:rPr>
          <w:rFonts w:eastAsia="Times New Roman" w:cstheme="minorHAnsi"/>
          <w:lang w:eastAsia="pl-PL"/>
        </w:rPr>
        <w:t>, w</w:t>
      </w:r>
      <w:r w:rsidRPr="001F2852">
        <w:rPr>
          <w:rFonts w:eastAsia="Times New Roman" w:cstheme="minorHAnsi"/>
          <w:lang w:eastAsia="pl-PL"/>
        </w:rPr>
        <w:t>ydany przez właściwy organ państwa, na terytorium którego działa notariusz. Wszelkie załączniki składane wraz z wnioskiem (pełnomocnictwa, wyroki i orzeczenia s</w:t>
      </w:r>
      <w:r w:rsidR="002A0B5C">
        <w:rPr>
          <w:rFonts w:eastAsia="Times New Roman" w:cstheme="minorHAnsi"/>
          <w:lang w:eastAsia="pl-PL"/>
        </w:rPr>
        <w:t>ądowe, decyzje, postanowienia i </w:t>
      </w:r>
      <w:r w:rsidRPr="001F2852">
        <w:rPr>
          <w:rFonts w:eastAsia="Times New Roman" w:cstheme="minorHAnsi"/>
          <w:lang w:eastAsia="pl-PL"/>
        </w:rPr>
        <w:t xml:space="preserve">zaświadczenia organów administracyjnych i inne) powinny być w oryginale lub poświadczonym odpisie. </w:t>
      </w:r>
    </w:p>
    <w:p w14:paraId="741332FD" w14:textId="77777777" w:rsidR="00AE3AEB" w:rsidRPr="001F2852" w:rsidRDefault="00AE3AEB" w:rsidP="001F285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1F981889" w14:textId="4A2BAD2F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 xml:space="preserve">Osobą uprawnioną do złożenia wniosku o wypłatę środków gwarantowanych jest deponent, jego pełnomocnik, następca prawny, a w przypadku deponenta małoletniego </w:t>
      </w:r>
      <w:r w:rsidR="00ED7FE8">
        <w:rPr>
          <w:rFonts w:eastAsia="Times New Roman" w:cstheme="minorHAnsi"/>
          <w:lang w:eastAsia="pl-PL"/>
        </w:rPr>
        <w:br/>
      </w:r>
      <w:r w:rsidRPr="001F2852">
        <w:rPr>
          <w:rFonts w:eastAsia="Times New Roman" w:cstheme="minorHAnsi"/>
          <w:lang w:eastAsia="pl-PL"/>
        </w:rPr>
        <w:t>lub ubezwłasnowolnionego jego przedstawiciel ustawowy, w tym opiekun lub kurator. W celu prawidłowego wypełnienia wniosku, prosimy uprzejmie o uważne zapoznanie się z informacjami dodatkowymi zawartymi na jego odwrocie.</w:t>
      </w:r>
    </w:p>
    <w:p w14:paraId="28F206BA" w14:textId="77777777" w:rsidR="00AE3AEB" w:rsidRPr="001F2852" w:rsidRDefault="00AE3AEB" w:rsidP="001F285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67F8E7EF" w14:textId="633F0D58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 xml:space="preserve">Szczegółowy regulamin wypłat </w:t>
      </w:r>
      <w:r w:rsidR="004E34A7" w:rsidRPr="001F2852">
        <w:rPr>
          <w:rFonts w:eastAsia="Times New Roman" w:cstheme="minorHAnsi"/>
          <w:lang w:eastAsia="pl-PL"/>
        </w:rPr>
        <w:t xml:space="preserve">środków gwarantowanych </w:t>
      </w:r>
      <w:r w:rsidRPr="001F2852">
        <w:rPr>
          <w:rFonts w:eastAsia="Times New Roman" w:cstheme="minorHAnsi"/>
          <w:lang w:eastAsia="pl-PL"/>
        </w:rPr>
        <w:t xml:space="preserve">dokonywanych przez BFG zawiera załącznik nr 3 </w:t>
      </w:r>
      <w:r w:rsidRPr="00AE0BF0">
        <w:rPr>
          <w:rFonts w:eastAsia="Times New Roman" w:cstheme="minorHAnsi"/>
          <w:lang w:eastAsia="pl-PL"/>
        </w:rPr>
        <w:t>do</w:t>
      </w:r>
      <w:r w:rsidRPr="001F2852">
        <w:rPr>
          <w:rFonts w:eastAsia="Times New Roman" w:cstheme="minorHAnsi"/>
          <w:i/>
          <w:lang w:eastAsia="pl-PL"/>
        </w:rPr>
        <w:t xml:space="preserve"> uchwały nr </w:t>
      </w:r>
      <w:r w:rsidR="007E3296">
        <w:rPr>
          <w:rFonts w:eastAsia="Times New Roman" w:cstheme="minorHAnsi"/>
          <w:i/>
          <w:lang w:eastAsia="pl-PL"/>
        </w:rPr>
        <w:t>595</w:t>
      </w:r>
      <w:r w:rsidRPr="001F2852">
        <w:rPr>
          <w:rFonts w:eastAsia="Times New Roman" w:cstheme="minorHAnsi"/>
          <w:i/>
          <w:lang w:eastAsia="pl-PL"/>
        </w:rPr>
        <w:t xml:space="preserve">/DGD/2017 Zarządu BFG z dnia </w:t>
      </w:r>
      <w:r w:rsidR="007E3296">
        <w:rPr>
          <w:rFonts w:eastAsia="Times New Roman" w:cstheme="minorHAnsi"/>
          <w:i/>
          <w:lang w:eastAsia="pl-PL"/>
        </w:rPr>
        <w:t>7 czerwca</w:t>
      </w:r>
      <w:r w:rsidRPr="001F2852">
        <w:rPr>
          <w:rFonts w:eastAsia="Times New Roman" w:cstheme="minorHAnsi"/>
          <w:i/>
          <w:lang w:eastAsia="pl-PL"/>
        </w:rPr>
        <w:t xml:space="preserve"> 2017 r. </w:t>
      </w:r>
      <w:r w:rsidR="007E3296">
        <w:rPr>
          <w:rFonts w:eastAsia="Times New Roman" w:cstheme="minorHAnsi"/>
          <w:i/>
          <w:lang w:eastAsia="pl-PL"/>
        </w:rPr>
        <w:br/>
      </w:r>
      <w:r w:rsidRPr="001F2852">
        <w:rPr>
          <w:rFonts w:eastAsia="Times New Roman" w:cstheme="minorHAnsi"/>
          <w:i/>
          <w:lang w:eastAsia="pl-PL"/>
        </w:rPr>
        <w:t>w sprawie realizacji wypłat środków gwarantowanych deponentom Spółdzielczej Kasy Oszczędnościowo-Kredytowej</w:t>
      </w:r>
      <w:r w:rsidR="007E3296">
        <w:rPr>
          <w:rFonts w:eastAsia="Times New Roman" w:cstheme="minorHAnsi"/>
          <w:i/>
          <w:lang w:eastAsia="pl-PL"/>
        </w:rPr>
        <w:t xml:space="preserve"> „Nike”</w:t>
      </w:r>
      <w:r w:rsidR="00454449" w:rsidRPr="001F2852">
        <w:rPr>
          <w:rFonts w:eastAsia="Times New Roman" w:cstheme="minorHAnsi"/>
          <w:i/>
          <w:lang w:eastAsia="pl-PL"/>
        </w:rPr>
        <w:t>,</w:t>
      </w:r>
      <w:r w:rsidR="00454449" w:rsidRPr="001F2852">
        <w:rPr>
          <w:rFonts w:eastAsia="Times New Roman" w:cstheme="minorHAnsi"/>
          <w:lang w:eastAsia="pl-PL"/>
        </w:rPr>
        <w:t xml:space="preserve"> który </w:t>
      </w:r>
      <w:r w:rsidRPr="001F2852">
        <w:rPr>
          <w:rFonts w:eastAsia="Times New Roman" w:cstheme="minorHAnsi"/>
          <w:lang w:eastAsia="pl-PL"/>
        </w:rPr>
        <w:t>dostępny jest na stronie internetowej BFG pod adresem https://www.bfg.pl</w:t>
      </w:r>
      <w:r w:rsidR="00454449" w:rsidRPr="001F2852">
        <w:rPr>
          <w:rFonts w:eastAsia="Times New Roman" w:cstheme="minorHAnsi"/>
          <w:lang w:eastAsia="pl-PL"/>
        </w:rPr>
        <w:t xml:space="preserve">, w zakładce „Trwające wypłaty”. </w:t>
      </w:r>
      <w:r w:rsidRPr="001F2852">
        <w:rPr>
          <w:rFonts w:eastAsia="Times New Roman" w:cstheme="minorHAnsi"/>
          <w:lang w:eastAsia="pl-PL"/>
        </w:rPr>
        <w:t>W tym samym miejscu dostępny jest również formularz wniosku o wypłatę.</w:t>
      </w:r>
    </w:p>
    <w:p w14:paraId="52E697E9" w14:textId="77777777" w:rsidR="00AE3AEB" w:rsidRPr="001F2852" w:rsidRDefault="00AE3AEB" w:rsidP="001F285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735EA88C" w14:textId="1D7DEEAB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b/>
          <w:lang w:eastAsia="pl-PL"/>
        </w:rPr>
      </w:pPr>
      <w:r w:rsidRPr="001F2852">
        <w:rPr>
          <w:rFonts w:eastAsia="Times New Roman" w:cstheme="minorHAnsi"/>
          <w:b/>
          <w:lang w:eastAsia="pl-PL"/>
        </w:rPr>
        <w:t>Ostatecznym terminem złożenia wniosku o wypłatę spełniającego powyżej opisane wymogi jest 2 stycznia 2023 r. (Uwaga: w przypadku wysłania wniosku pocztą decyduje data wpływu</w:t>
      </w:r>
      <w:r w:rsidR="009B5CF4" w:rsidRPr="001F2852">
        <w:rPr>
          <w:rFonts w:eastAsia="Times New Roman" w:cstheme="minorHAnsi"/>
          <w:b/>
          <w:lang w:eastAsia="pl-PL"/>
        </w:rPr>
        <w:t xml:space="preserve"> do </w:t>
      </w:r>
      <w:r w:rsidR="00861361" w:rsidRPr="001F2852">
        <w:rPr>
          <w:rFonts w:eastAsia="Times New Roman" w:cstheme="minorHAnsi"/>
          <w:b/>
          <w:lang w:eastAsia="pl-PL"/>
        </w:rPr>
        <w:t xml:space="preserve">siedziby </w:t>
      </w:r>
      <w:r w:rsidR="009B5CF4" w:rsidRPr="001F2852">
        <w:rPr>
          <w:rFonts w:eastAsia="Times New Roman" w:cstheme="minorHAnsi"/>
          <w:b/>
          <w:lang w:eastAsia="pl-PL"/>
        </w:rPr>
        <w:t>BFG</w:t>
      </w:r>
      <w:r w:rsidRPr="001F2852">
        <w:rPr>
          <w:rFonts w:eastAsia="Times New Roman" w:cstheme="minorHAnsi"/>
          <w:b/>
          <w:lang w:eastAsia="pl-PL"/>
        </w:rPr>
        <w:t xml:space="preserve">). </w:t>
      </w:r>
      <w:r w:rsidRPr="001F2852">
        <w:rPr>
          <w:rFonts w:eastAsia="Times New Roman" w:cstheme="minorHAnsi"/>
          <w:lang w:eastAsia="pl-PL"/>
        </w:rPr>
        <w:t>Po upływie powyższego terminu Bankowy Fundusz Gwarancyjny zaprzestaje dokonywania wypłat środków gwarantowanych wynikających ze spełnienia warunku gwarancji wobec SKOK</w:t>
      </w:r>
      <w:r w:rsidR="007E3296">
        <w:rPr>
          <w:rFonts w:eastAsia="Times New Roman" w:cstheme="minorHAnsi"/>
          <w:lang w:eastAsia="pl-PL"/>
        </w:rPr>
        <w:t xml:space="preserve"> „Nike”</w:t>
      </w:r>
      <w:r w:rsidRPr="001F2852">
        <w:rPr>
          <w:rFonts w:eastAsia="Times New Roman" w:cstheme="minorHAnsi"/>
          <w:lang w:eastAsia="pl-PL"/>
        </w:rPr>
        <w:t>.</w:t>
      </w:r>
    </w:p>
    <w:p w14:paraId="1174FA13" w14:textId="77777777" w:rsidR="00AE3AEB" w:rsidRPr="001F2852" w:rsidRDefault="00AE3AEB" w:rsidP="001F2852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55E8016D" w14:textId="1A1F9B11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W przypadku jakichkolwiek pytań czy wątpliwości dotyczących wypłaty środków gwarantowanych przez BFG prosimy o kontakt pod bezpłatnym numerem telefonu: 800 569 341, od poniedziałku do pi</w:t>
      </w:r>
      <w:r w:rsidR="00713939" w:rsidRPr="001F2852">
        <w:rPr>
          <w:rFonts w:eastAsia="Times New Roman" w:cstheme="minorHAnsi"/>
          <w:lang w:eastAsia="pl-PL"/>
        </w:rPr>
        <w:t>ątku, w godz. od 8:00 do 16:00.</w:t>
      </w:r>
    </w:p>
    <w:p w14:paraId="224B642E" w14:textId="77777777" w:rsidR="00861361" w:rsidRPr="001F2852" w:rsidRDefault="00861361" w:rsidP="00AB2D95">
      <w:pPr>
        <w:pStyle w:val="BFGtekst"/>
        <w:spacing w:after="0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408B9C79" w14:textId="240AFCAB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</w:pPr>
      <w:r w:rsidRPr="001F2852">
        <w:rPr>
          <w:rFonts w:eastAsia="Times New Roman" w:cstheme="minorHAnsi"/>
          <w:b/>
          <w:color w:val="000000"/>
          <w:lang w:eastAsia="pl-PL"/>
        </w:rPr>
        <w:t>Niniejszy komunikat ma jedynie charakter informacyjny i nie stanowi uznania przez Bankowy Fundusz Gwarancyjny roszczenia w</w:t>
      </w:r>
      <w:r w:rsidR="00ED7FE8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1F2852">
        <w:rPr>
          <w:rFonts w:eastAsia="Times New Roman" w:cstheme="minorHAnsi"/>
          <w:b/>
          <w:color w:val="000000"/>
          <w:lang w:eastAsia="pl-PL"/>
        </w:rPr>
        <w:t xml:space="preserve">trybie art. 123 </w:t>
      </w:r>
      <w:r w:rsidRPr="001F2852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§ 1 pkt 2 Kodeksu cywilnego</w:t>
      </w:r>
      <w:r w:rsidR="00861361" w:rsidRPr="001F2852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, powodującego przerwanie biegu terminu przedawnienia roszczeń z tytułu wypłaty środków gwarantowanych</w:t>
      </w:r>
      <w:r w:rsidRPr="001F2852"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  <w:t>.</w:t>
      </w:r>
    </w:p>
    <w:p w14:paraId="46FE9AAF" w14:textId="77777777" w:rsidR="00AE3AEB" w:rsidRPr="001F2852" w:rsidRDefault="00AE3AEB" w:rsidP="00AE3AEB">
      <w:pPr>
        <w:spacing w:after="0"/>
        <w:ind w:firstLine="708"/>
        <w:jc w:val="both"/>
        <w:rPr>
          <w:rFonts w:eastAsia="Times New Roman" w:cstheme="minorHAnsi"/>
          <w:b/>
          <w:bCs/>
          <w:color w:val="000000"/>
          <w:shd w:val="clear" w:color="auto" w:fill="FFFFFF"/>
          <w:lang w:eastAsia="pl-PL"/>
        </w:rPr>
      </w:pPr>
    </w:p>
    <w:p w14:paraId="1DB835A8" w14:textId="77777777" w:rsidR="00ED7FE8" w:rsidRDefault="00ED7FE8" w:rsidP="009B1466">
      <w:pPr>
        <w:spacing w:after="0"/>
        <w:ind w:left="3540" w:firstLine="708"/>
        <w:jc w:val="both"/>
        <w:rPr>
          <w:rFonts w:eastAsia="Times New Roman" w:cstheme="minorHAnsi"/>
          <w:lang w:eastAsia="pl-PL"/>
        </w:rPr>
      </w:pPr>
    </w:p>
    <w:p w14:paraId="72BC5B55" w14:textId="4EC95B16" w:rsidR="006459A6" w:rsidRDefault="00AE3AEB" w:rsidP="009B1466">
      <w:pPr>
        <w:spacing w:after="0"/>
        <w:ind w:left="3540" w:firstLine="708"/>
        <w:jc w:val="both"/>
        <w:rPr>
          <w:rFonts w:eastAsia="Times New Roman" w:cstheme="minorHAnsi"/>
          <w:lang w:eastAsia="pl-PL"/>
        </w:rPr>
      </w:pPr>
      <w:r w:rsidRPr="001F2852">
        <w:rPr>
          <w:rFonts w:eastAsia="Times New Roman" w:cstheme="minorHAnsi"/>
          <w:lang w:eastAsia="pl-PL"/>
        </w:rPr>
        <w:t>Bankowy Fundusz Gwarancyjny</w:t>
      </w:r>
    </w:p>
    <w:sectPr w:rsidR="006459A6" w:rsidSect="00DF51CC">
      <w:footerReference w:type="default" r:id="rId8"/>
      <w:headerReference w:type="first" r:id="rId9"/>
      <w:pgSz w:w="11906" w:h="16838" w:code="9"/>
      <w:pgMar w:top="1417" w:right="1417" w:bottom="1417" w:left="1417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4C655" w14:textId="77777777" w:rsidR="00051A64" w:rsidRDefault="00051A64">
      <w:pPr>
        <w:spacing w:after="0" w:line="240" w:lineRule="auto"/>
      </w:pPr>
      <w:r>
        <w:separator/>
      </w:r>
    </w:p>
  </w:endnote>
  <w:endnote w:type="continuationSeparator" w:id="0">
    <w:p w14:paraId="31D66C3B" w14:textId="77777777" w:rsidR="00051A64" w:rsidRDefault="0005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1104277"/>
      <w:docPartObj>
        <w:docPartGallery w:val="Page Numbers (Bottom of Page)"/>
        <w:docPartUnique/>
      </w:docPartObj>
    </w:sdtPr>
    <w:sdtEndPr/>
    <w:sdtContent>
      <w:p w14:paraId="2C165675" w14:textId="63E6124F" w:rsidR="00051A64" w:rsidRDefault="00051A64" w:rsidP="00FC060B">
        <w:pPr>
          <w:ind w:firstLine="142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9BD873A" wp14:editId="66F9728B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-54412</wp:posOffset>
                  </wp:positionV>
                  <wp:extent cx="0" cy="192421"/>
                  <wp:effectExtent l="0" t="0" r="38100" b="36195"/>
                  <wp:wrapNone/>
                  <wp:docPr id="6" name="Łącznik prosty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0" cy="19242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7498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7A4C7B2" id="Łącznik prosty 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pt,-4.3pt" to="1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" strokecolor="#074983" strokeweight=".5pt">
                  <v:stroke joinstyle="miter"/>
                </v:line>
              </w:pict>
            </mc:Fallback>
          </mc:AlternateContent>
        </w:r>
        <w:r>
          <w:ptab w:relativeTo="indent" w:alignment="left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E22E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8B6A4" w14:textId="77777777" w:rsidR="00051A64" w:rsidRDefault="00051A64">
      <w:pPr>
        <w:spacing w:after="0" w:line="240" w:lineRule="auto"/>
      </w:pPr>
      <w:r>
        <w:separator/>
      </w:r>
    </w:p>
  </w:footnote>
  <w:footnote w:type="continuationSeparator" w:id="0">
    <w:p w14:paraId="7CA947E5" w14:textId="77777777" w:rsidR="00051A64" w:rsidRDefault="00051A64">
      <w:pPr>
        <w:spacing w:after="0" w:line="240" w:lineRule="auto"/>
      </w:pPr>
      <w:r>
        <w:continuationSeparator/>
      </w:r>
    </w:p>
  </w:footnote>
  <w:footnote w:id="1">
    <w:p w14:paraId="4B977C4A" w14:textId="63E9472E" w:rsidR="00051A64" w:rsidRPr="00713939" w:rsidRDefault="00051A64" w:rsidP="00713939">
      <w:pPr>
        <w:pStyle w:val="Tekstprzypisudolnego"/>
        <w:jc w:val="both"/>
        <w:rPr>
          <w:sz w:val="18"/>
          <w:szCs w:val="18"/>
        </w:rPr>
      </w:pPr>
      <w:r w:rsidRPr="00713939">
        <w:rPr>
          <w:rStyle w:val="Odwoanieprzypisudolnego"/>
          <w:b/>
          <w:sz w:val="18"/>
          <w:szCs w:val="18"/>
        </w:rPr>
        <w:t>*</w:t>
      </w:r>
      <w:r w:rsidRPr="00713939">
        <w:rPr>
          <w:b/>
          <w:sz w:val="18"/>
          <w:szCs w:val="18"/>
        </w:rPr>
        <w:t xml:space="preserve"> </w:t>
      </w:r>
      <w:r w:rsidRPr="00713939">
        <w:rPr>
          <w:sz w:val="18"/>
          <w:szCs w:val="18"/>
        </w:rPr>
        <w:t xml:space="preserve">Wyjątkiem są sytuacje, w których nie </w:t>
      </w:r>
      <w:r>
        <w:rPr>
          <w:sz w:val="18"/>
          <w:szCs w:val="18"/>
        </w:rPr>
        <w:t>nastąpi</w:t>
      </w:r>
      <w:r w:rsidRPr="00713939">
        <w:rPr>
          <w:sz w:val="18"/>
          <w:szCs w:val="18"/>
        </w:rPr>
        <w:t xml:space="preserve"> przedawnienie roszczeń z uwagi na przerwanie biegu przedawnienia. Zgodnie z art. 123 Kodeksu cywilnego bieg przedawnienia przerywa się: 1) przez każdą czynność przed sądem lub innym organem powołanym do rozpoznawania spraw lub egzekwowania roszczeń danego rodzaju albo przed sądem polubownym, przedsięwziętą bezpośrednio w celu dochodzenia lub ustalenia albo zaspokojenia lub zabezpieczenia roszczenia; 2) przez uznanie roszczenia przez osobę, przeciwko której roszczenie przysługuje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5C776" w14:textId="77777777" w:rsidR="00051A64" w:rsidRDefault="00051A64" w:rsidP="00FC060B">
    <w:pPr>
      <w:tabs>
        <w:tab w:val="left" w:pos="2340"/>
      </w:tabs>
    </w:pPr>
    <w:r>
      <w:rPr>
        <w:noProof/>
        <w:lang w:eastAsia="pl-PL"/>
      </w:rPr>
      <w:drawing>
        <wp:inline distT="0" distB="0" distL="0" distR="0" wp14:anchorId="0AAC1A5D" wp14:editId="077C096D">
          <wp:extent cx="5734050" cy="1341120"/>
          <wp:effectExtent l="0" t="0" r="63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P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80" r="9229"/>
                  <a:stretch/>
                </pic:blipFill>
                <pic:spPr bwMode="auto">
                  <a:xfrm>
                    <a:off x="0" y="0"/>
                    <a:ext cx="5734050" cy="1341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369C"/>
    <w:multiLevelType w:val="hybridMultilevel"/>
    <w:tmpl w:val="88B61D00"/>
    <w:lvl w:ilvl="0" w:tplc="13AADA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EC6C32"/>
    <w:multiLevelType w:val="hybridMultilevel"/>
    <w:tmpl w:val="1E5295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76B8E"/>
    <w:multiLevelType w:val="hybridMultilevel"/>
    <w:tmpl w:val="E544EA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C4616C"/>
    <w:multiLevelType w:val="hybridMultilevel"/>
    <w:tmpl w:val="70A03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B8"/>
    <w:rsid w:val="000035FB"/>
    <w:rsid w:val="00051A64"/>
    <w:rsid w:val="000B66A2"/>
    <w:rsid w:val="000C7A22"/>
    <w:rsid w:val="00107274"/>
    <w:rsid w:val="0014261C"/>
    <w:rsid w:val="00156420"/>
    <w:rsid w:val="0017208B"/>
    <w:rsid w:val="001B435A"/>
    <w:rsid w:val="001F1B9D"/>
    <w:rsid w:val="001F2852"/>
    <w:rsid w:val="00207C7C"/>
    <w:rsid w:val="00213365"/>
    <w:rsid w:val="0022185C"/>
    <w:rsid w:val="00247C9A"/>
    <w:rsid w:val="0025525F"/>
    <w:rsid w:val="00257A8E"/>
    <w:rsid w:val="002775B8"/>
    <w:rsid w:val="00284FAF"/>
    <w:rsid w:val="00296A2C"/>
    <w:rsid w:val="002A0B5C"/>
    <w:rsid w:val="002B38EF"/>
    <w:rsid w:val="002D4D83"/>
    <w:rsid w:val="002F0176"/>
    <w:rsid w:val="002F05F9"/>
    <w:rsid w:val="00320BD5"/>
    <w:rsid w:val="00342ECF"/>
    <w:rsid w:val="00357190"/>
    <w:rsid w:val="00360607"/>
    <w:rsid w:val="0037211A"/>
    <w:rsid w:val="00393EF4"/>
    <w:rsid w:val="003A2605"/>
    <w:rsid w:val="003C5643"/>
    <w:rsid w:val="003E2ABF"/>
    <w:rsid w:val="004172D1"/>
    <w:rsid w:val="00430C6F"/>
    <w:rsid w:val="00454449"/>
    <w:rsid w:val="0045654F"/>
    <w:rsid w:val="00497F7D"/>
    <w:rsid w:val="004D7668"/>
    <w:rsid w:val="004D7D10"/>
    <w:rsid w:val="004E34A7"/>
    <w:rsid w:val="004F4FE6"/>
    <w:rsid w:val="0050053C"/>
    <w:rsid w:val="005110F6"/>
    <w:rsid w:val="00540137"/>
    <w:rsid w:val="005502E2"/>
    <w:rsid w:val="0055735D"/>
    <w:rsid w:val="00575AAA"/>
    <w:rsid w:val="00610F6C"/>
    <w:rsid w:val="006322A4"/>
    <w:rsid w:val="006459A6"/>
    <w:rsid w:val="006779E6"/>
    <w:rsid w:val="00680894"/>
    <w:rsid w:val="0069109B"/>
    <w:rsid w:val="006A23AD"/>
    <w:rsid w:val="006C5854"/>
    <w:rsid w:val="006F474F"/>
    <w:rsid w:val="006F6CA4"/>
    <w:rsid w:val="00713939"/>
    <w:rsid w:val="007251BF"/>
    <w:rsid w:val="007576B9"/>
    <w:rsid w:val="007817D1"/>
    <w:rsid w:val="00785C32"/>
    <w:rsid w:val="007C787D"/>
    <w:rsid w:val="007D07E1"/>
    <w:rsid w:val="007D1EFC"/>
    <w:rsid w:val="007D2447"/>
    <w:rsid w:val="007E3296"/>
    <w:rsid w:val="007F6C80"/>
    <w:rsid w:val="00822609"/>
    <w:rsid w:val="0083347D"/>
    <w:rsid w:val="00840161"/>
    <w:rsid w:val="00842BE0"/>
    <w:rsid w:val="00854BCE"/>
    <w:rsid w:val="0085686F"/>
    <w:rsid w:val="00861361"/>
    <w:rsid w:val="00871DCE"/>
    <w:rsid w:val="008A3B7C"/>
    <w:rsid w:val="008B1DCA"/>
    <w:rsid w:val="008D7193"/>
    <w:rsid w:val="008E22EE"/>
    <w:rsid w:val="008F4F0C"/>
    <w:rsid w:val="00902743"/>
    <w:rsid w:val="009308A7"/>
    <w:rsid w:val="00945336"/>
    <w:rsid w:val="00946A73"/>
    <w:rsid w:val="00946D53"/>
    <w:rsid w:val="009B1466"/>
    <w:rsid w:val="009B5CF4"/>
    <w:rsid w:val="009D0E64"/>
    <w:rsid w:val="009D2C56"/>
    <w:rsid w:val="009E4C49"/>
    <w:rsid w:val="00A059CF"/>
    <w:rsid w:val="00A151DB"/>
    <w:rsid w:val="00A27E12"/>
    <w:rsid w:val="00A3679E"/>
    <w:rsid w:val="00A47D13"/>
    <w:rsid w:val="00A557B0"/>
    <w:rsid w:val="00A8760D"/>
    <w:rsid w:val="00AA3908"/>
    <w:rsid w:val="00AA7688"/>
    <w:rsid w:val="00AB2D95"/>
    <w:rsid w:val="00AE0BF0"/>
    <w:rsid w:val="00AE3AEB"/>
    <w:rsid w:val="00AF2647"/>
    <w:rsid w:val="00AF5AE1"/>
    <w:rsid w:val="00B13E5D"/>
    <w:rsid w:val="00B619F1"/>
    <w:rsid w:val="00B663CA"/>
    <w:rsid w:val="00BB0A26"/>
    <w:rsid w:val="00BE7D76"/>
    <w:rsid w:val="00C0067D"/>
    <w:rsid w:val="00C01449"/>
    <w:rsid w:val="00C237DB"/>
    <w:rsid w:val="00C50E6E"/>
    <w:rsid w:val="00C52F9F"/>
    <w:rsid w:val="00C6223E"/>
    <w:rsid w:val="00C65FD6"/>
    <w:rsid w:val="00C666F9"/>
    <w:rsid w:val="00C71F95"/>
    <w:rsid w:val="00C85CA4"/>
    <w:rsid w:val="00C927B6"/>
    <w:rsid w:val="00CA0D92"/>
    <w:rsid w:val="00CA153E"/>
    <w:rsid w:val="00CC5068"/>
    <w:rsid w:val="00CD29E3"/>
    <w:rsid w:val="00CD5C1E"/>
    <w:rsid w:val="00CD62CE"/>
    <w:rsid w:val="00CF4921"/>
    <w:rsid w:val="00D463AB"/>
    <w:rsid w:val="00D579E5"/>
    <w:rsid w:val="00D629D2"/>
    <w:rsid w:val="00D934AD"/>
    <w:rsid w:val="00D94B30"/>
    <w:rsid w:val="00DC5D7C"/>
    <w:rsid w:val="00DF51CC"/>
    <w:rsid w:val="00E1474D"/>
    <w:rsid w:val="00E4364C"/>
    <w:rsid w:val="00E455E1"/>
    <w:rsid w:val="00E700BA"/>
    <w:rsid w:val="00EB07D3"/>
    <w:rsid w:val="00EC0880"/>
    <w:rsid w:val="00EC33AE"/>
    <w:rsid w:val="00EC61A2"/>
    <w:rsid w:val="00EC7B63"/>
    <w:rsid w:val="00ED7FE8"/>
    <w:rsid w:val="00F05332"/>
    <w:rsid w:val="00F31210"/>
    <w:rsid w:val="00F4572A"/>
    <w:rsid w:val="00F57E73"/>
    <w:rsid w:val="00F67F89"/>
    <w:rsid w:val="00F802AC"/>
    <w:rsid w:val="00F80AE9"/>
    <w:rsid w:val="00FB5BD8"/>
    <w:rsid w:val="00FC060B"/>
    <w:rsid w:val="00FC0E15"/>
    <w:rsid w:val="00FE540E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E7B5AC1"/>
  <w15:chartTrackingRefBased/>
  <w15:docId w15:val="{EC73945F-C0D5-4B2D-B5BC-CDFE1597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3"/>
        <w:szCs w:val="23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FGtekst"/>
    <w:rsid w:val="00BE7D7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005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05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FGtekst">
    <w:name w:val="BFG_tekst"/>
    <w:basedOn w:val="Normalny"/>
    <w:link w:val="BFGtekstZnak"/>
    <w:rsid w:val="0083347D"/>
    <w:pPr>
      <w:ind w:firstLine="709"/>
      <w:jc w:val="both"/>
    </w:pPr>
    <w:rPr>
      <w:rFonts w:ascii="Calibri Light" w:hAnsi="Calibri Light" w:cs="Times New Roman"/>
      <w:sz w:val="28"/>
      <w:szCs w:val="28"/>
    </w:rPr>
  </w:style>
  <w:style w:type="character" w:customStyle="1" w:styleId="BFGtekstZnak">
    <w:name w:val="BFG_tekst Znak"/>
    <w:basedOn w:val="Domylnaczcionkaakapitu"/>
    <w:link w:val="BFGtekst"/>
    <w:rsid w:val="0083347D"/>
    <w:rPr>
      <w:rFonts w:ascii="Calibri Light" w:hAnsi="Calibri Light" w:cs="Times New Roman"/>
      <w:sz w:val="28"/>
      <w:szCs w:val="28"/>
    </w:rPr>
  </w:style>
  <w:style w:type="character" w:customStyle="1" w:styleId="lrzxr">
    <w:name w:val="lrzxr"/>
    <w:basedOn w:val="Domylnaczcionkaakapitu"/>
    <w:rsid w:val="0083347D"/>
  </w:style>
  <w:style w:type="paragraph" w:styleId="Tytu">
    <w:name w:val="Title"/>
    <w:basedOn w:val="Normalny"/>
    <w:link w:val="TytuZnak"/>
    <w:qFormat/>
    <w:rsid w:val="0083347D"/>
    <w:pPr>
      <w:spacing w:after="0" w:line="360" w:lineRule="auto"/>
      <w:jc w:val="center"/>
    </w:pPr>
    <w:rPr>
      <w:rFonts w:ascii="Arial" w:eastAsia="Times New Roman" w:hAnsi="Arial" w:cs="Times New Roman"/>
      <w:b/>
      <w:sz w:val="1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3347D"/>
    <w:rPr>
      <w:rFonts w:ascii="Arial" w:eastAsia="Times New Roman" w:hAnsi="Arial" w:cs="Times New Roman"/>
      <w:b/>
      <w:sz w:val="18"/>
      <w:szCs w:val="20"/>
      <w:lang w:eastAsia="pl-PL"/>
    </w:rPr>
  </w:style>
  <w:style w:type="character" w:styleId="Hipercze">
    <w:name w:val="Hyperlink"/>
    <w:unhideWhenUsed/>
    <w:rsid w:val="00F3121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31210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121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B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5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7B0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A55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57B0"/>
    <w:rPr>
      <w:sz w:val="24"/>
    </w:rPr>
  </w:style>
  <w:style w:type="paragraph" w:customStyle="1" w:styleId="BFGNadawcanazwisko">
    <w:name w:val="BFG Nadawca nazwisko"/>
    <w:basedOn w:val="Normalny"/>
    <w:next w:val="BFGNadawcafunkcja"/>
    <w:qFormat/>
    <w:rsid w:val="00E700BA"/>
    <w:pPr>
      <w:spacing w:after="120" w:line="240" w:lineRule="auto"/>
    </w:pPr>
    <w:rPr>
      <w:rFonts w:eastAsia="Times New Roman" w:cs="Times New Roman"/>
      <w:color w:val="44546A" w:themeColor="text2"/>
      <w:szCs w:val="20"/>
    </w:rPr>
  </w:style>
  <w:style w:type="paragraph" w:customStyle="1" w:styleId="BFGNadawcafunkcja">
    <w:name w:val="BFG Nadawca funkcja"/>
    <w:basedOn w:val="Normalny"/>
    <w:next w:val="Normalny"/>
    <w:qFormat/>
    <w:rsid w:val="00E700BA"/>
    <w:pPr>
      <w:spacing w:after="120" w:line="240" w:lineRule="auto"/>
    </w:pPr>
    <w:rPr>
      <w:rFonts w:eastAsia="Times New Roman" w:cs="Times New Roman"/>
      <w:color w:val="44546A" w:themeColor="text2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D1E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D1EFC"/>
    <w:rPr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005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005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0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0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0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53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A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3A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3AEB"/>
    <w:rPr>
      <w:vertAlign w:val="superscript"/>
    </w:rPr>
  </w:style>
  <w:style w:type="paragraph" w:styleId="Akapitzlist">
    <w:name w:val="List Paragraph"/>
    <w:basedOn w:val="Normalny"/>
    <w:uiPriority w:val="34"/>
    <w:qFormat/>
    <w:rsid w:val="004E3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C58C-47B3-4466-899C-C756989CF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Kercher Konrad</dc:creator>
  <cp:keywords/>
  <dc:description/>
  <cp:lastModifiedBy>Tyjeńska Anna</cp:lastModifiedBy>
  <cp:revision>7</cp:revision>
  <cp:lastPrinted>2022-07-19T07:34:00Z</cp:lastPrinted>
  <dcterms:created xsi:type="dcterms:W3CDTF">2022-07-19T09:55:00Z</dcterms:created>
  <dcterms:modified xsi:type="dcterms:W3CDTF">2022-07-20T13:33:00Z</dcterms:modified>
</cp:coreProperties>
</file>