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ACE" w:rsidRPr="00DF679D" w:rsidRDefault="0031042D" w:rsidP="00FE1896">
      <w:pPr>
        <w:pStyle w:val="Akapitzlist1"/>
        <w:ind w:left="0"/>
        <w:rPr>
          <w:rFonts w:cs="Calibri Light"/>
          <w:b/>
          <w:noProof/>
          <w:color w:val="1F497D" w:themeColor="text2"/>
          <w:sz w:val="32"/>
        </w:rPr>
      </w:pPr>
      <w:bookmarkStart w:id="0" w:name="_Toc497815846"/>
      <w:bookmarkStart w:id="1" w:name="_Toc403125027"/>
      <w:r w:rsidRPr="00DF679D">
        <w:rPr>
          <w:rFonts w:cs="Calibri Light"/>
          <w:b/>
          <w:noProof/>
          <w:color w:val="1F497D" w:themeColor="text2"/>
          <w:sz w:val="32"/>
        </w:rPr>
        <w:drawing>
          <wp:anchor distT="0" distB="0" distL="114300" distR="114300" simplePos="0" relativeHeight="251650560" behindDoc="1" locked="0" layoutInCell="1" allowOverlap="1" wp14:anchorId="7A2C1D2F" wp14:editId="096897BA">
            <wp:simplePos x="0" y="0"/>
            <wp:positionH relativeFrom="column">
              <wp:posOffset>-929056</wp:posOffset>
            </wp:positionH>
            <wp:positionV relativeFrom="paragraph">
              <wp:posOffset>-1602055</wp:posOffset>
            </wp:positionV>
            <wp:extent cx="7624445" cy="11382451"/>
            <wp:effectExtent l="0" t="0" r="0"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arnia.jpg"/>
                    <pic:cNvPicPr/>
                  </pic:nvPicPr>
                  <pic:blipFill>
                    <a:blip r:embed="rId8">
                      <a:extLst>
                        <a:ext uri="{28A0092B-C50C-407E-A947-70E740481C1C}">
                          <a14:useLocalDpi xmlns:a14="http://schemas.microsoft.com/office/drawing/2010/main" val="0"/>
                        </a:ext>
                      </a:extLst>
                    </a:blip>
                    <a:stretch>
                      <a:fillRect/>
                    </a:stretch>
                  </pic:blipFill>
                  <pic:spPr>
                    <a:xfrm>
                      <a:off x="0" y="0"/>
                      <a:ext cx="7625079" cy="11383397"/>
                    </a:xfrm>
                    <a:prstGeom prst="rect">
                      <a:avLst/>
                    </a:prstGeom>
                  </pic:spPr>
                </pic:pic>
              </a:graphicData>
            </a:graphic>
            <wp14:sizeRelH relativeFrom="page">
              <wp14:pctWidth>0</wp14:pctWidth>
            </wp14:sizeRelH>
            <wp14:sizeRelV relativeFrom="page">
              <wp14:pctHeight>0</wp14:pctHeight>
            </wp14:sizeRelV>
          </wp:anchor>
        </w:drawing>
      </w:r>
      <w:r w:rsidR="000E6450" w:rsidRPr="00DF679D">
        <w:rPr>
          <w:rFonts w:cs="Calibri Light"/>
          <w:noProof/>
          <w:color w:val="1F497D" w:themeColor="text2"/>
          <w:sz w:val="32"/>
        </w:rPr>
        <w:drawing>
          <wp:anchor distT="0" distB="0" distL="114300" distR="114300" simplePos="0" relativeHeight="251675136" behindDoc="1" locked="0" layoutInCell="1" allowOverlap="1" wp14:anchorId="0C917398" wp14:editId="430C4A76">
            <wp:simplePos x="0" y="0"/>
            <wp:positionH relativeFrom="column">
              <wp:posOffset>-228698</wp:posOffset>
            </wp:positionH>
            <wp:positionV relativeFrom="paragraph">
              <wp:posOffset>-495300</wp:posOffset>
            </wp:positionV>
            <wp:extent cx="2407743" cy="872197"/>
            <wp:effectExtent l="0" t="0" r="0" b="444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G_Logo_RGB_800p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7743" cy="872197"/>
                    </a:xfrm>
                    <a:prstGeom prst="rect">
                      <a:avLst/>
                    </a:prstGeom>
                  </pic:spPr>
                </pic:pic>
              </a:graphicData>
            </a:graphic>
            <wp14:sizeRelH relativeFrom="page">
              <wp14:pctWidth>0</wp14:pctWidth>
            </wp14:sizeRelH>
            <wp14:sizeRelV relativeFrom="page">
              <wp14:pctHeight>0</wp14:pctHeight>
            </wp14:sizeRelV>
          </wp:anchor>
        </w:drawing>
      </w:r>
      <w:r w:rsidR="00763ACE" w:rsidRPr="00DF679D">
        <w:rPr>
          <w:rFonts w:cs="Calibri Light"/>
          <w:b/>
          <w:noProof/>
          <w:color w:val="1F497D" w:themeColor="text2"/>
          <w:sz w:val="32"/>
        </w:rPr>
        <w:t xml:space="preserve"> </w:t>
      </w:r>
    </w:p>
    <w:p w:rsidR="00763ACE" w:rsidRPr="00DF679D" w:rsidRDefault="000E6450" w:rsidP="00FE1896">
      <w:pPr>
        <w:pStyle w:val="Akapitzlist1"/>
        <w:ind w:left="0"/>
        <w:rPr>
          <w:rFonts w:cs="Calibri Light"/>
          <w:b/>
          <w:noProof/>
          <w:color w:val="1F497D" w:themeColor="text2"/>
          <w:sz w:val="32"/>
        </w:rPr>
      </w:pPr>
      <w:r w:rsidRPr="00DF679D">
        <w:rPr>
          <w:rFonts w:cs="Calibri Light"/>
          <w:b/>
          <w:noProof/>
          <w:color w:val="1F497D" w:themeColor="text2"/>
          <w:sz w:val="32"/>
        </w:rPr>
        <mc:AlternateContent>
          <mc:Choice Requires="wps">
            <w:drawing>
              <wp:anchor distT="0" distB="0" distL="114300" distR="114300" simplePos="0" relativeHeight="251662848" behindDoc="0" locked="0" layoutInCell="1" allowOverlap="1" wp14:anchorId="49916C34" wp14:editId="6AF0F0D6">
                <wp:simplePos x="0" y="0"/>
                <wp:positionH relativeFrom="column">
                  <wp:posOffset>-791846</wp:posOffset>
                </wp:positionH>
                <wp:positionV relativeFrom="paragraph">
                  <wp:posOffset>150104</wp:posOffset>
                </wp:positionV>
                <wp:extent cx="7554351" cy="0"/>
                <wp:effectExtent l="0" t="0" r="27940" b="19050"/>
                <wp:wrapNone/>
                <wp:docPr id="3" name="Łącznik prostoliniowy 3"/>
                <wp:cNvGraphicFramePr/>
                <a:graphic xmlns:a="http://schemas.openxmlformats.org/drawingml/2006/main">
                  <a:graphicData uri="http://schemas.microsoft.com/office/word/2010/wordprocessingShape">
                    <wps:wsp>
                      <wps:cNvCnPr/>
                      <wps:spPr>
                        <a:xfrm>
                          <a:off x="0" y="0"/>
                          <a:ext cx="755435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93AC8B0" id="Łącznik prostoliniowy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2.35pt,11.8pt" to="53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" strokecolor="#c0504d [3205]" strokeweight=".5pt">
                <v:stroke joinstyle="miter"/>
              </v:line>
            </w:pict>
          </mc:Fallback>
        </mc:AlternateContent>
      </w:r>
    </w:p>
    <w:p w:rsidR="00763ACE" w:rsidRPr="00DF679D" w:rsidRDefault="00763ACE" w:rsidP="00FE1896">
      <w:pPr>
        <w:pStyle w:val="Akapitzlist1"/>
        <w:ind w:left="0"/>
        <w:rPr>
          <w:rFonts w:cs="Calibri Light"/>
          <w:b/>
          <w:noProof/>
          <w:color w:val="1F497D" w:themeColor="text2"/>
          <w:sz w:val="32"/>
        </w:rPr>
      </w:pPr>
    </w:p>
    <w:p w:rsidR="00763ACE" w:rsidRPr="00DF679D" w:rsidRDefault="00630CAA" w:rsidP="00FE1896">
      <w:pPr>
        <w:pStyle w:val="Akapitzlist1"/>
        <w:ind w:left="0"/>
        <w:rPr>
          <w:rFonts w:cs="Calibri Light"/>
          <w:color w:val="2A5384"/>
        </w:rPr>
      </w:pPr>
      <w:r w:rsidRPr="00DF679D">
        <w:rPr>
          <w:rFonts w:cs="Calibri Light"/>
          <w:color w:val="2A5384"/>
        </w:rPr>
        <w:t>BZ.0330</w:t>
      </w:r>
      <w:r w:rsidR="005B3DF2" w:rsidRPr="00DF679D">
        <w:rPr>
          <w:rFonts w:cs="Calibri Light"/>
          <w:color w:val="2A5384"/>
        </w:rPr>
        <w:t>.5.</w:t>
      </w:r>
      <w:r w:rsidRPr="00DF679D">
        <w:rPr>
          <w:rFonts w:cs="Calibri Light"/>
          <w:color w:val="2A5384"/>
        </w:rPr>
        <w:t>20</w:t>
      </w:r>
      <w:r w:rsidR="007C354D" w:rsidRPr="00DF679D">
        <w:rPr>
          <w:rFonts w:cs="Calibri Light"/>
          <w:color w:val="2A5384"/>
        </w:rPr>
        <w:t>2</w:t>
      </w:r>
      <w:r w:rsidR="008D522F" w:rsidRPr="00DF679D">
        <w:rPr>
          <w:rFonts w:cs="Calibri Light"/>
          <w:color w:val="2A5384"/>
        </w:rPr>
        <w:t>2</w:t>
      </w:r>
    </w:p>
    <w:p w:rsidR="00763ACE" w:rsidRPr="00DF679D" w:rsidRDefault="00763ACE" w:rsidP="00FE1896">
      <w:pPr>
        <w:pStyle w:val="Akapitzlist1"/>
        <w:ind w:left="0"/>
        <w:rPr>
          <w:rFonts w:cs="Calibri Light"/>
          <w:b/>
          <w:color w:val="2A5384"/>
          <w:sz w:val="23"/>
          <w:szCs w:val="23"/>
        </w:rPr>
      </w:pPr>
    </w:p>
    <w:p w:rsidR="00763ACE" w:rsidRPr="00DF679D" w:rsidRDefault="00763ACE" w:rsidP="00FE1896">
      <w:pPr>
        <w:pStyle w:val="Akapitzlist1"/>
        <w:ind w:left="0"/>
        <w:rPr>
          <w:rFonts w:cs="Calibri Light"/>
          <w:b/>
          <w:color w:val="2A5384"/>
          <w:sz w:val="23"/>
          <w:szCs w:val="23"/>
        </w:rPr>
      </w:pPr>
    </w:p>
    <w:p w:rsidR="00EE555A" w:rsidRPr="00DF679D" w:rsidRDefault="00EE555A" w:rsidP="00763ACE">
      <w:pPr>
        <w:pStyle w:val="Akapitzlist1"/>
        <w:ind w:left="0"/>
        <w:jc w:val="center"/>
        <w:rPr>
          <w:rFonts w:cs="Calibri Light"/>
          <w:b/>
          <w:color w:val="2A5384"/>
          <w:sz w:val="52"/>
          <w:szCs w:val="52"/>
        </w:rPr>
      </w:pPr>
    </w:p>
    <w:p w:rsidR="00EE555A" w:rsidRPr="00DF679D" w:rsidRDefault="00EE555A" w:rsidP="00763ACE">
      <w:pPr>
        <w:pStyle w:val="Akapitzlist1"/>
        <w:ind w:left="0"/>
        <w:jc w:val="center"/>
        <w:rPr>
          <w:rFonts w:cs="Calibri Light"/>
          <w:b/>
          <w:color w:val="2A5384"/>
          <w:sz w:val="52"/>
          <w:szCs w:val="52"/>
        </w:rPr>
      </w:pPr>
    </w:p>
    <w:p w:rsidR="00763ACE" w:rsidRPr="00DF679D" w:rsidRDefault="00630CAA" w:rsidP="00763ACE">
      <w:pPr>
        <w:pStyle w:val="Akapitzlist1"/>
        <w:ind w:left="0"/>
        <w:jc w:val="center"/>
        <w:rPr>
          <w:rFonts w:cs="Calibri Light"/>
          <w:b/>
          <w:color w:val="2A5384"/>
          <w:sz w:val="52"/>
          <w:szCs w:val="52"/>
        </w:rPr>
      </w:pPr>
      <w:r w:rsidRPr="00DF679D">
        <w:rPr>
          <w:rFonts w:cs="Calibri Light"/>
          <w:b/>
          <w:color w:val="2A5384"/>
          <w:sz w:val="52"/>
          <w:szCs w:val="52"/>
        </w:rPr>
        <w:t>Sprawozdanie</w:t>
      </w:r>
      <w:r w:rsidR="000C79F0" w:rsidRPr="00DF679D">
        <w:rPr>
          <w:rFonts w:cs="Calibri Light"/>
          <w:b/>
          <w:color w:val="2A5384"/>
          <w:sz w:val="52"/>
          <w:szCs w:val="52"/>
        </w:rPr>
        <w:t xml:space="preserve"> z </w:t>
      </w:r>
      <w:r w:rsidR="00763ACE" w:rsidRPr="00DF679D">
        <w:rPr>
          <w:rFonts w:cs="Calibri Light"/>
          <w:b/>
          <w:color w:val="2A5384"/>
          <w:sz w:val="52"/>
          <w:szCs w:val="52"/>
        </w:rPr>
        <w:t>działalności</w:t>
      </w:r>
      <w:r w:rsidR="00763ACE" w:rsidRPr="00DF679D">
        <w:rPr>
          <w:rFonts w:cs="Calibri Light"/>
          <w:b/>
          <w:color w:val="2A5384"/>
          <w:sz w:val="52"/>
          <w:szCs w:val="52"/>
        </w:rPr>
        <w:br/>
      </w:r>
    </w:p>
    <w:p w:rsidR="0088003C" w:rsidRPr="00DF679D" w:rsidRDefault="00763ACE" w:rsidP="00763ACE">
      <w:pPr>
        <w:pStyle w:val="Akapitzlist1"/>
        <w:ind w:left="0"/>
        <w:jc w:val="center"/>
        <w:rPr>
          <w:rFonts w:cs="Calibri Light"/>
          <w:color w:val="2A5384"/>
          <w:sz w:val="40"/>
          <w:szCs w:val="40"/>
        </w:rPr>
      </w:pPr>
      <w:r w:rsidRPr="00DF679D">
        <w:rPr>
          <w:rFonts w:cs="Calibri Light"/>
          <w:color w:val="2A5384"/>
          <w:sz w:val="40"/>
          <w:szCs w:val="40"/>
        </w:rPr>
        <w:t>Bankowego Funduszu Gwarancyjnego</w:t>
      </w:r>
      <w:r w:rsidR="007C354D" w:rsidRPr="00DF679D">
        <w:rPr>
          <w:rFonts w:cs="Calibri Light"/>
          <w:color w:val="2A5384"/>
          <w:sz w:val="40"/>
          <w:szCs w:val="40"/>
        </w:rPr>
        <w:t xml:space="preserve"> </w:t>
      </w:r>
    </w:p>
    <w:p w:rsidR="004F1D4D" w:rsidRPr="00DF679D" w:rsidRDefault="0088003C" w:rsidP="00763ACE">
      <w:pPr>
        <w:pStyle w:val="Akapitzlist1"/>
        <w:ind w:left="0"/>
        <w:jc w:val="center"/>
        <w:rPr>
          <w:rFonts w:cs="Calibri Light"/>
          <w:color w:val="2A5384"/>
          <w:sz w:val="40"/>
          <w:szCs w:val="40"/>
        </w:rPr>
      </w:pPr>
      <w:r w:rsidRPr="00DF679D">
        <w:rPr>
          <w:rFonts w:cs="Calibri Light"/>
          <w:color w:val="2A5384"/>
          <w:sz w:val="40"/>
          <w:szCs w:val="40"/>
        </w:rPr>
        <w:t xml:space="preserve">w </w:t>
      </w:r>
      <w:r w:rsidR="00C85B42" w:rsidRPr="00DF679D">
        <w:rPr>
          <w:rFonts w:cs="Calibri Light"/>
          <w:color w:val="2A5384"/>
          <w:sz w:val="40"/>
          <w:szCs w:val="40"/>
        </w:rPr>
        <w:t>I</w:t>
      </w:r>
      <w:r w:rsidRPr="00DF679D">
        <w:rPr>
          <w:rFonts w:cs="Calibri Light"/>
          <w:color w:val="2A5384"/>
          <w:sz w:val="40"/>
          <w:szCs w:val="40"/>
        </w:rPr>
        <w:t>I</w:t>
      </w:r>
      <w:r w:rsidR="00D251F7" w:rsidRPr="00DF679D">
        <w:rPr>
          <w:rFonts w:cs="Calibri Light"/>
          <w:color w:val="2A5384"/>
          <w:sz w:val="40"/>
          <w:szCs w:val="40"/>
        </w:rPr>
        <w:t>I</w:t>
      </w:r>
      <w:r w:rsidR="00763ACE" w:rsidRPr="00DF679D">
        <w:rPr>
          <w:rFonts w:cs="Calibri Light"/>
          <w:color w:val="2A5384"/>
          <w:sz w:val="40"/>
          <w:szCs w:val="40"/>
        </w:rPr>
        <w:t xml:space="preserve"> </w:t>
      </w:r>
      <w:r w:rsidRPr="00DF679D">
        <w:rPr>
          <w:rFonts w:cs="Calibri Light"/>
          <w:color w:val="2A5384"/>
          <w:sz w:val="40"/>
          <w:szCs w:val="40"/>
        </w:rPr>
        <w:t xml:space="preserve">kwartale </w:t>
      </w:r>
      <w:r w:rsidR="00763ACE" w:rsidRPr="00DF679D">
        <w:rPr>
          <w:rFonts w:cs="Calibri Light"/>
          <w:color w:val="2A5384"/>
          <w:sz w:val="40"/>
          <w:szCs w:val="40"/>
        </w:rPr>
        <w:t>20</w:t>
      </w:r>
      <w:r w:rsidR="00B33D7E" w:rsidRPr="00DF679D">
        <w:rPr>
          <w:rFonts w:cs="Calibri Light"/>
          <w:color w:val="2A5384"/>
          <w:sz w:val="40"/>
          <w:szCs w:val="40"/>
        </w:rPr>
        <w:t>2</w:t>
      </w:r>
      <w:r w:rsidR="008D522F" w:rsidRPr="00DF679D">
        <w:rPr>
          <w:rFonts w:cs="Calibri Light"/>
          <w:color w:val="2A5384"/>
          <w:sz w:val="40"/>
          <w:szCs w:val="40"/>
        </w:rPr>
        <w:t>2</w:t>
      </w:r>
      <w:r w:rsidR="00630CAA" w:rsidRPr="00DF679D">
        <w:rPr>
          <w:rFonts w:cs="Calibri Light"/>
          <w:color w:val="2A5384"/>
          <w:sz w:val="40"/>
          <w:szCs w:val="40"/>
        </w:rPr>
        <w:t xml:space="preserve"> roku</w:t>
      </w: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763ACE" w:rsidRPr="00DF679D" w:rsidRDefault="00763ACE" w:rsidP="00763ACE">
      <w:pPr>
        <w:pStyle w:val="Akapitzlist1"/>
        <w:ind w:left="0"/>
        <w:jc w:val="center"/>
        <w:rPr>
          <w:rFonts w:cs="Calibri Light"/>
          <w:color w:val="1F497D" w:themeColor="text2"/>
          <w:sz w:val="32"/>
        </w:rPr>
      </w:pPr>
    </w:p>
    <w:p w:rsidR="00EE555A" w:rsidRPr="00DF679D" w:rsidRDefault="00EE555A" w:rsidP="00763ACE">
      <w:pPr>
        <w:pStyle w:val="Akapitzlist1"/>
        <w:ind w:left="0"/>
        <w:jc w:val="center"/>
        <w:rPr>
          <w:rFonts w:cs="Calibri Light"/>
          <w:color w:val="1F497D" w:themeColor="text2"/>
          <w:sz w:val="32"/>
        </w:rPr>
      </w:pPr>
    </w:p>
    <w:p w:rsidR="0088003C" w:rsidRPr="00DF679D" w:rsidRDefault="0088003C" w:rsidP="00763ACE">
      <w:pPr>
        <w:pStyle w:val="Akapitzlist1"/>
        <w:ind w:left="0"/>
        <w:jc w:val="center"/>
        <w:rPr>
          <w:rFonts w:cs="Calibri Light"/>
          <w:color w:val="1F497D" w:themeColor="text2"/>
          <w:sz w:val="32"/>
        </w:rPr>
      </w:pPr>
    </w:p>
    <w:p w:rsidR="00763ACE" w:rsidRPr="00DF679D" w:rsidRDefault="00D251F7" w:rsidP="00763ACE">
      <w:pPr>
        <w:pStyle w:val="Akapitzlist1"/>
        <w:ind w:left="0"/>
        <w:jc w:val="center"/>
        <w:rPr>
          <w:rFonts w:cs="Calibri Light"/>
          <w:color w:val="2A5384"/>
          <w:sz w:val="32"/>
        </w:rPr>
      </w:pPr>
      <w:r w:rsidRPr="00DF679D">
        <w:rPr>
          <w:rFonts w:cs="Calibri Light"/>
          <w:color w:val="2A5384"/>
          <w:sz w:val="32"/>
        </w:rPr>
        <w:t>październik</w:t>
      </w:r>
      <w:r w:rsidR="0088003C" w:rsidRPr="00DF679D">
        <w:rPr>
          <w:rFonts w:cs="Calibri Light"/>
          <w:color w:val="2A5384"/>
          <w:sz w:val="32"/>
        </w:rPr>
        <w:t xml:space="preserve"> </w:t>
      </w:r>
      <w:r w:rsidR="00763ACE" w:rsidRPr="00DF679D">
        <w:rPr>
          <w:rFonts w:cs="Calibri Light"/>
          <w:color w:val="2A5384"/>
          <w:sz w:val="32"/>
        </w:rPr>
        <w:t>20</w:t>
      </w:r>
      <w:r w:rsidR="003849EE" w:rsidRPr="00DF679D">
        <w:rPr>
          <w:rFonts w:cs="Calibri Light"/>
          <w:color w:val="2A5384"/>
          <w:sz w:val="32"/>
        </w:rPr>
        <w:t>2</w:t>
      </w:r>
      <w:r w:rsidR="001A4769" w:rsidRPr="00DF679D">
        <w:rPr>
          <w:rFonts w:cs="Calibri Light"/>
          <w:color w:val="2A5384"/>
          <w:sz w:val="32"/>
        </w:rPr>
        <w:t>2</w:t>
      </w:r>
    </w:p>
    <w:p w:rsidR="00E0223C" w:rsidRPr="00DF679D" w:rsidRDefault="00E0223C" w:rsidP="00FE1896">
      <w:pPr>
        <w:pStyle w:val="Akapitzlist1"/>
        <w:ind w:left="0"/>
        <w:rPr>
          <w:rFonts w:cs="Calibri Light"/>
          <w:color w:val="2A5384"/>
          <w:sz w:val="32"/>
        </w:rPr>
      </w:pPr>
      <w:r w:rsidRPr="00DF679D">
        <w:rPr>
          <w:rFonts w:cs="Calibri Light"/>
          <w:color w:val="2A5384"/>
          <w:sz w:val="32"/>
        </w:rPr>
        <w:lastRenderedPageBreak/>
        <w:t>Spis treści</w:t>
      </w:r>
      <w:bookmarkEnd w:id="0"/>
    </w:p>
    <w:p w:rsidR="00C36640" w:rsidRDefault="00E0223C">
      <w:pPr>
        <w:pStyle w:val="Spistreci1"/>
        <w:rPr>
          <w:rFonts w:eastAsiaTheme="minorEastAsia" w:cstheme="minorBidi"/>
          <w:b w:val="0"/>
          <w:sz w:val="22"/>
          <w:szCs w:val="22"/>
        </w:rPr>
      </w:pPr>
      <w:r w:rsidRPr="00DF679D">
        <w:rPr>
          <w:rFonts w:ascii="Calibri Light" w:hAnsi="Calibri Light" w:cs="Calibri Light"/>
        </w:rPr>
        <w:fldChar w:fldCharType="begin"/>
      </w:r>
      <w:r w:rsidRPr="00DF679D">
        <w:rPr>
          <w:rFonts w:ascii="Calibri Light" w:hAnsi="Calibri Light" w:cs="Calibri Light"/>
        </w:rPr>
        <w:instrText xml:space="preserve"> TOC \o "1-3" \h \z \u </w:instrText>
      </w:r>
      <w:r w:rsidRPr="00DF679D">
        <w:rPr>
          <w:rFonts w:ascii="Calibri Light" w:hAnsi="Calibri Light" w:cs="Calibri Light"/>
        </w:rPr>
        <w:fldChar w:fldCharType="separate"/>
      </w:r>
      <w:hyperlink w:anchor="_Toc116304505" w:history="1">
        <w:r w:rsidR="00C36640" w:rsidRPr="00367AE6">
          <w:rPr>
            <w:rStyle w:val="Hipercze"/>
            <w:rFonts w:cs="Calibri Light"/>
          </w:rPr>
          <w:t>Słownik najważniejszych skrótów</w:t>
        </w:r>
        <w:r w:rsidR="00C36640">
          <w:rPr>
            <w:webHidden/>
          </w:rPr>
          <w:tab/>
        </w:r>
        <w:r w:rsidR="00C36640">
          <w:rPr>
            <w:webHidden/>
          </w:rPr>
          <w:fldChar w:fldCharType="begin"/>
        </w:r>
        <w:r w:rsidR="00C36640">
          <w:rPr>
            <w:webHidden/>
          </w:rPr>
          <w:instrText xml:space="preserve"> PAGEREF _Toc116304505 \h </w:instrText>
        </w:r>
        <w:r w:rsidR="00C36640">
          <w:rPr>
            <w:webHidden/>
          </w:rPr>
        </w:r>
        <w:r w:rsidR="00C36640">
          <w:rPr>
            <w:webHidden/>
          </w:rPr>
          <w:fldChar w:fldCharType="separate"/>
        </w:r>
        <w:r w:rsidR="00CD5EA4">
          <w:rPr>
            <w:webHidden/>
          </w:rPr>
          <w:t>4</w:t>
        </w:r>
        <w:r w:rsidR="00C36640">
          <w:rPr>
            <w:webHidden/>
          </w:rPr>
          <w:fldChar w:fldCharType="end"/>
        </w:r>
      </w:hyperlink>
    </w:p>
    <w:p w:rsidR="00C36640" w:rsidRDefault="00D81D5B">
      <w:pPr>
        <w:pStyle w:val="Spistreci1"/>
        <w:rPr>
          <w:rFonts w:eastAsiaTheme="minorEastAsia" w:cstheme="minorBidi"/>
          <w:b w:val="0"/>
          <w:sz w:val="22"/>
          <w:szCs w:val="22"/>
        </w:rPr>
      </w:pPr>
      <w:hyperlink w:anchor="_Toc116304506" w:history="1">
        <w:r w:rsidR="00C36640" w:rsidRPr="00367AE6">
          <w:rPr>
            <w:rStyle w:val="Hipercze"/>
            <w:rFonts w:cs="Calibri Light"/>
          </w:rPr>
          <w:t>Wstęp</w:t>
        </w:r>
        <w:r w:rsidR="00C36640">
          <w:rPr>
            <w:webHidden/>
          </w:rPr>
          <w:tab/>
        </w:r>
        <w:r w:rsidR="00C36640">
          <w:rPr>
            <w:webHidden/>
          </w:rPr>
          <w:fldChar w:fldCharType="begin"/>
        </w:r>
        <w:r w:rsidR="00C36640">
          <w:rPr>
            <w:webHidden/>
          </w:rPr>
          <w:instrText xml:space="preserve"> PAGEREF _Toc116304506 \h </w:instrText>
        </w:r>
        <w:r w:rsidR="00C36640">
          <w:rPr>
            <w:webHidden/>
          </w:rPr>
        </w:r>
        <w:r w:rsidR="00C36640">
          <w:rPr>
            <w:webHidden/>
          </w:rPr>
          <w:fldChar w:fldCharType="separate"/>
        </w:r>
        <w:r w:rsidR="00CD5EA4">
          <w:rPr>
            <w:webHidden/>
          </w:rPr>
          <w:t>6</w:t>
        </w:r>
        <w:r w:rsidR="00C36640">
          <w:rPr>
            <w:webHidden/>
          </w:rPr>
          <w:fldChar w:fldCharType="end"/>
        </w:r>
      </w:hyperlink>
    </w:p>
    <w:p w:rsidR="00C36640" w:rsidRDefault="00D81D5B">
      <w:pPr>
        <w:pStyle w:val="Spistreci1"/>
        <w:rPr>
          <w:rFonts w:eastAsiaTheme="minorEastAsia" w:cstheme="minorBidi"/>
          <w:b w:val="0"/>
          <w:sz w:val="22"/>
          <w:szCs w:val="22"/>
        </w:rPr>
      </w:pPr>
      <w:hyperlink w:anchor="_Toc116304507" w:history="1">
        <w:r w:rsidR="00C36640" w:rsidRPr="00367AE6">
          <w:rPr>
            <w:rStyle w:val="Hipercze"/>
            <w:rFonts w:cs="Calibri Light"/>
          </w:rPr>
          <w:t>Część 1. Gwarantowanie depozytów</w:t>
        </w:r>
        <w:r w:rsidR="00C36640">
          <w:rPr>
            <w:webHidden/>
          </w:rPr>
          <w:tab/>
        </w:r>
        <w:r w:rsidR="00C36640">
          <w:rPr>
            <w:webHidden/>
          </w:rPr>
          <w:fldChar w:fldCharType="begin"/>
        </w:r>
        <w:r w:rsidR="00C36640">
          <w:rPr>
            <w:webHidden/>
          </w:rPr>
          <w:instrText xml:space="preserve"> PAGEREF _Toc116304507 \h </w:instrText>
        </w:r>
        <w:r w:rsidR="00C36640">
          <w:rPr>
            <w:webHidden/>
          </w:rPr>
        </w:r>
        <w:r w:rsidR="00C36640">
          <w:rPr>
            <w:webHidden/>
          </w:rPr>
          <w:fldChar w:fldCharType="separate"/>
        </w:r>
        <w:r w:rsidR="00CD5EA4">
          <w:rPr>
            <w:webHidden/>
          </w:rPr>
          <w:t>9</w:t>
        </w:r>
        <w:r w:rsidR="00C36640">
          <w:rPr>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08" w:history="1">
        <w:r w:rsidR="00C36640" w:rsidRPr="00367AE6">
          <w:rPr>
            <w:rStyle w:val="Hipercze"/>
            <w:rFonts w:cs="Calibri Light"/>
            <w:noProof/>
          </w:rPr>
          <w:t>1.</w:t>
        </w:r>
        <w:r w:rsidR="00C36640">
          <w:rPr>
            <w:rFonts w:asciiTheme="minorHAnsi" w:eastAsiaTheme="minorEastAsia" w:hAnsiTheme="minorHAnsi" w:cstheme="minorBidi"/>
            <w:noProof/>
            <w:sz w:val="22"/>
            <w:szCs w:val="22"/>
          </w:rPr>
          <w:tab/>
        </w:r>
        <w:r w:rsidR="00C36640" w:rsidRPr="00367AE6">
          <w:rPr>
            <w:rStyle w:val="Hipercze"/>
            <w:rFonts w:cs="Calibri Light"/>
            <w:noProof/>
          </w:rPr>
          <w:t>Działalność gwarancyjna</w:t>
        </w:r>
        <w:r w:rsidR="00C36640">
          <w:rPr>
            <w:noProof/>
            <w:webHidden/>
          </w:rPr>
          <w:tab/>
        </w:r>
        <w:r w:rsidR="00C36640">
          <w:rPr>
            <w:noProof/>
            <w:webHidden/>
          </w:rPr>
          <w:fldChar w:fldCharType="begin"/>
        </w:r>
        <w:r w:rsidR="00C36640">
          <w:rPr>
            <w:noProof/>
            <w:webHidden/>
          </w:rPr>
          <w:instrText xml:space="preserve"> PAGEREF _Toc116304508 \h </w:instrText>
        </w:r>
        <w:r w:rsidR="00C36640">
          <w:rPr>
            <w:noProof/>
            <w:webHidden/>
          </w:rPr>
        </w:r>
        <w:r w:rsidR="00C36640">
          <w:rPr>
            <w:noProof/>
            <w:webHidden/>
          </w:rPr>
          <w:fldChar w:fldCharType="separate"/>
        </w:r>
        <w:r w:rsidR="00CD5EA4">
          <w:rPr>
            <w:noProof/>
            <w:webHidden/>
          </w:rPr>
          <w:t>9</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09" w:history="1">
        <w:r w:rsidR="00C36640" w:rsidRPr="00367AE6">
          <w:rPr>
            <w:rStyle w:val="Hipercze"/>
            <w:rFonts w:cs="Calibri Light"/>
            <w:noProof/>
          </w:rPr>
          <w:t>1.1.</w:t>
        </w:r>
        <w:r w:rsidR="00C36640">
          <w:rPr>
            <w:rFonts w:asciiTheme="minorHAnsi" w:eastAsiaTheme="minorEastAsia" w:hAnsiTheme="minorHAnsi" w:cstheme="minorBidi"/>
            <w:noProof/>
            <w:sz w:val="22"/>
            <w:szCs w:val="22"/>
          </w:rPr>
          <w:tab/>
        </w:r>
        <w:r w:rsidR="00C36640" w:rsidRPr="00367AE6">
          <w:rPr>
            <w:rStyle w:val="Hipercze"/>
            <w:rFonts w:cs="Calibri Light"/>
            <w:noProof/>
          </w:rPr>
          <w:t>Wypłaty środków gwarantowanych realizowane przez Biuro Funduszu</w:t>
        </w:r>
        <w:r w:rsidR="00C36640">
          <w:rPr>
            <w:noProof/>
            <w:webHidden/>
          </w:rPr>
          <w:tab/>
        </w:r>
        <w:r w:rsidR="00C36640">
          <w:rPr>
            <w:noProof/>
            <w:webHidden/>
          </w:rPr>
          <w:fldChar w:fldCharType="begin"/>
        </w:r>
        <w:r w:rsidR="00C36640">
          <w:rPr>
            <w:noProof/>
            <w:webHidden/>
          </w:rPr>
          <w:instrText xml:space="preserve"> PAGEREF _Toc116304509 \h </w:instrText>
        </w:r>
        <w:r w:rsidR="00C36640">
          <w:rPr>
            <w:noProof/>
            <w:webHidden/>
          </w:rPr>
        </w:r>
        <w:r w:rsidR="00C36640">
          <w:rPr>
            <w:noProof/>
            <w:webHidden/>
          </w:rPr>
          <w:fldChar w:fldCharType="separate"/>
        </w:r>
        <w:r w:rsidR="00CD5EA4">
          <w:rPr>
            <w:noProof/>
            <w:webHidden/>
          </w:rPr>
          <w:t>9</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10" w:history="1">
        <w:r w:rsidR="00C36640" w:rsidRPr="00367AE6">
          <w:rPr>
            <w:rStyle w:val="Hipercze"/>
            <w:rFonts w:cs="Calibri Light"/>
            <w:noProof/>
          </w:rPr>
          <w:t>1.2.</w:t>
        </w:r>
        <w:r w:rsidR="00C36640">
          <w:rPr>
            <w:rFonts w:asciiTheme="minorHAnsi" w:eastAsiaTheme="minorEastAsia" w:hAnsiTheme="minorHAnsi" w:cstheme="minorBidi"/>
            <w:noProof/>
            <w:sz w:val="22"/>
            <w:szCs w:val="22"/>
          </w:rPr>
          <w:tab/>
        </w:r>
        <w:r w:rsidR="00C36640" w:rsidRPr="00367AE6">
          <w:rPr>
            <w:rStyle w:val="Hipercze"/>
            <w:rFonts w:cs="Calibri Light"/>
            <w:noProof/>
          </w:rPr>
          <w:t>Stan wypłat dla deponentów</w:t>
        </w:r>
        <w:r w:rsidR="00C36640">
          <w:rPr>
            <w:noProof/>
            <w:webHidden/>
          </w:rPr>
          <w:tab/>
        </w:r>
        <w:r w:rsidR="00C36640">
          <w:rPr>
            <w:noProof/>
            <w:webHidden/>
          </w:rPr>
          <w:fldChar w:fldCharType="begin"/>
        </w:r>
        <w:r w:rsidR="00C36640">
          <w:rPr>
            <w:noProof/>
            <w:webHidden/>
          </w:rPr>
          <w:instrText xml:space="preserve"> PAGEREF _Toc116304510 \h </w:instrText>
        </w:r>
        <w:r w:rsidR="00C36640">
          <w:rPr>
            <w:noProof/>
            <w:webHidden/>
          </w:rPr>
        </w:r>
        <w:r w:rsidR="00C36640">
          <w:rPr>
            <w:noProof/>
            <w:webHidden/>
          </w:rPr>
          <w:fldChar w:fldCharType="separate"/>
        </w:r>
        <w:r w:rsidR="00CD5EA4">
          <w:rPr>
            <w:noProof/>
            <w:webHidden/>
          </w:rPr>
          <w:t>9</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11" w:history="1">
        <w:r w:rsidR="00C36640" w:rsidRPr="00367AE6">
          <w:rPr>
            <w:rStyle w:val="Hipercze"/>
            <w:rFonts w:cs="Calibri Light"/>
            <w:noProof/>
          </w:rPr>
          <w:t>2.</w:t>
        </w:r>
        <w:r w:rsidR="00C36640">
          <w:rPr>
            <w:rFonts w:asciiTheme="minorHAnsi" w:eastAsiaTheme="minorEastAsia" w:hAnsiTheme="minorHAnsi" w:cstheme="minorBidi"/>
            <w:noProof/>
            <w:sz w:val="22"/>
            <w:szCs w:val="22"/>
          </w:rPr>
          <w:tab/>
        </w:r>
        <w:r w:rsidR="00C36640">
          <w:rPr>
            <w:rFonts w:asciiTheme="minorHAnsi" w:eastAsiaTheme="minorEastAsia" w:hAnsiTheme="minorHAnsi" w:cstheme="minorBidi"/>
            <w:noProof/>
            <w:sz w:val="22"/>
            <w:szCs w:val="22"/>
          </w:rPr>
          <w:tab/>
        </w:r>
        <w:r w:rsidR="00C36640" w:rsidRPr="00367AE6">
          <w:rPr>
            <w:rStyle w:val="Hipercze"/>
            <w:rFonts w:cs="Calibri Light"/>
            <w:noProof/>
          </w:rPr>
          <w:t>Kontrola prawidłowości danych znajdujących się w systemach wyliczania podmiotów objętych systemem gwarantowania</w:t>
        </w:r>
        <w:r w:rsidR="00C36640">
          <w:rPr>
            <w:noProof/>
            <w:webHidden/>
          </w:rPr>
          <w:tab/>
        </w:r>
        <w:r w:rsidR="00C36640">
          <w:rPr>
            <w:noProof/>
            <w:webHidden/>
          </w:rPr>
          <w:fldChar w:fldCharType="begin"/>
        </w:r>
        <w:r w:rsidR="00C36640">
          <w:rPr>
            <w:noProof/>
            <w:webHidden/>
          </w:rPr>
          <w:instrText xml:space="preserve"> PAGEREF _Toc116304511 \h </w:instrText>
        </w:r>
        <w:r w:rsidR="00C36640">
          <w:rPr>
            <w:noProof/>
            <w:webHidden/>
          </w:rPr>
        </w:r>
        <w:r w:rsidR="00C36640">
          <w:rPr>
            <w:noProof/>
            <w:webHidden/>
          </w:rPr>
          <w:fldChar w:fldCharType="separate"/>
        </w:r>
        <w:r w:rsidR="00CD5EA4">
          <w:rPr>
            <w:noProof/>
            <w:webHidden/>
          </w:rPr>
          <w:t>10</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12" w:history="1">
        <w:r w:rsidR="00C36640" w:rsidRPr="00367AE6">
          <w:rPr>
            <w:rStyle w:val="Hipercze"/>
            <w:rFonts w:cs="Calibri Light"/>
            <w:noProof/>
          </w:rPr>
          <w:t>2.1.</w:t>
        </w:r>
        <w:r w:rsidR="00C36640">
          <w:rPr>
            <w:rFonts w:asciiTheme="minorHAnsi" w:eastAsiaTheme="minorEastAsia" w:hAnsiTheme="minorHAnsi" w:cstheme="minorBidi"/>
            <w:noProof/>
            <w:sz w:val="22"/>
            <w:szCs w:val="22"/>
          </w:rPr>
          <w:tab/>
        </w:r>
        <w:r w:rsidR="00C36640" w:rsidRPr="00367AE6">
          <w:rPr>
            <w:rStyle w:val="Hipercze"/>
            <w:rFonts w:cs="Calibri Light"/>
            <w:noProof/>
          </w:rPr>
          <w:t>Podstawa prawna oraz cel przeprowadzania kontroli prawidłowości danych</w:t>
        </w:r>
        <w:r w:rsidR="00C36640">
          <w:rPr>
            <w:noProof/>
            <w:webHidden/>
          </w:rPr>
          <w:tab/>
        </w:r>
        <w:r w:rsidR="00C36640">
          <w:rPr>
            <w:noProof/>
            <w:webHidden/>
          </w:rPr>
          <w:fldChar w:fldCharType="begin"/>
        </w:r>
        <w:r w:rsidR="00C36640">
          <w:rPr>
            <w:noProof/>
            <w:webHidden/>
          </w:rPr>
          <w:instrText xml:space="preserve"> PAGEREF _Toc116304512 \h </w:instrText>
        </w:r>
        <w:r w:rsidR="00C36640">
          <w:rPr>
            <w:noProof/>
            <w:webHidden/>
          </w:rPr>
        </w:r>
        <w:r w:rsidR="00C36640">
          <w:rPr>
            <w:noProof/>
            <w:webHidden/>
          </w:rPr>
          <w:fldChar w:fldCharType="separate"/>
        </w:r>
        <w:r w:rsidR="00CD5EA4">
          <w:rPr>
            <w:noProof/>
            <w:webHidden/>
          </w:rPr>
          <w:t>10</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13" w:history="1">
        <w:r w:rsidR="00C36640" w:rsidRPr="00367AE6">
          <w:rPr>
            <w:rStyle w:val="Hipercze"/>
            <w:rFonts w:cs="Calibri Light"/>
            <w:noProof/>
          </w:rPr>
          <w:t>2.2.</w:t>
        </w:r>
        <w:r w:rsidR="00C36640">
          <w:rPr>
            <w:rFonts w:asciiTheme="minorHAnsi" w:eastAsiaTheme="minorEastAsia" w:hAnsiTheme="minorHAnsi" w:cstheme="minorBidi"/>
            <w:noProof/>
            <w:sz w:val="22"/>
            <w:szCs w:val="22"/>
          </w:rPr>
          <w:tab/>
        </w:r>
        <w:r w:rsidR="00C36640" w:rsidRPr="00367AE6">
          <w:rPr>
            <w:rStyle w:val="Hipercze"/>
            <w:rFonts w:cs="Calibri Light"/>
            <w:noProof/>
          </w:rPr>
          <w:t>Wyniki kontroli prawidłowości danych</w:t>
        </w:r>
        <w:r w:rsidR="00C36640">
          <w:rPr>
            <w:noProof/>
            <w:webHidden/>
          </w:rPr>
          <w:tab/>
        </w:r>
        <w:r w:rsidR="00C36640">
          <w:rPr>
            <w:noProof/>
            <w:webHidden/>
          </w:rPr>
          <w:fldChar w:fldCharType="begin"/>
        </w:r>
        <w:r w:rsidR="00C36640">
          <w:rPr>
            <w:noProof/>
            <w:webHidden/>
          </w:rPr>
          <w:instrText xml:space="preserve"> PAGEREF _Toc116304513 \h </w:instrText>
        </w:r>
        <w:r w:rsidR="00C36640">
          <w:rPr>
            <w:noProof/>
            <w:webHidden/>
          </w:rPr>
        </w:r>
        <w:r w:rsidR="00C36640">
          <w:rPr>
            <w:noProof/>
            <w:webHidden/>
          </w:rPr>
          <w:fldChar w:fldCharType="separate"/>
        </w:r>
        <w:r w:rsidR="00CD5EA4">
          <w:rPr>
            <w:noProof/>
            <w:webHidden/>
          </w:rPr>
          <w:t>11</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14" w:history="1">
        <w:r w:rsidR="00C36640" w:rsidRPr="00367AE6">
          <w:rPr>
            <w:rStyle w:val="Hipercze"/>
            <w:rFonts w:cs="Calibri Light"/>
            <w:noProof/>
          </w:rPr>
          <w:t>2.3.</w:t>
        </w:r>
        <w:r w:rsidR="00C36640">
          <w:rPr>
            <w:rFonts w:asciiTheme="minorHAnsi" w:eastAsiaTheme="minorEastAsia" w:hAnsiTheme="minorHAnsi" w:cstheme="minorBidi"/>
            <w:noProof/>
            <w:sz w:val="22"/>
            <w:szCs w:val="22"/>
          </w:rPr>
          <w:tab/>
        </w:r>
        <w:r w:rsidR="00C36640" w:rsidRPr="00367AE6">
          <w:rPr>
            <w:rStyle w:val="Hipercze"/>
            <w:rFonts w:cs="Calibri Light"/>
            <w:noProof/>
          </w:rPr>
          <w:t>Analiza wyników kontroli prawidłowości danych</w:t>
        </w:r>
        <w:r w:rsidR="00C36640">
          <w:rPr>
            <w:noProof/>
            <w:webHidden/>
          </w:rPr>
          <w:tab/>
        </w:r>
        <w:r w:rsidR="00C36640">
          <w:rPr>
            <w:noProof/>
            <w:webHidden/>
          </w:rPr>
          <w:fldChar w:fldCharType="begin"/>
        </w:r>
        <w:r w:rsidR="00C36640">
          <w:rPr>
            <w:noProof/>
            <w:webHidden/>
          </w:rPr>
          <w:instrText xml:space="preserve"> PAGEREF _Toc116304514 \h </w:instrText>
        </w:r>
        <w:r w:rsidR="00C36640">
          <w:rPr>
            <w:noProof/>
            <w:webHidden/>
          </w:rPr>
        </w:r>
        <w:r w:rsidR="00C36640">
          <w:rPr>
            <w:noProof/>
            <w:webHidden/>
          </w:rPr>
          <w:fldChar w:fldCharType="separate"/>
        </w:r>
        <w:r w:rsidR="00CD5EA4">
          <w:rPr>
            <w:noProof/>
            <w:webHidden/>
          </w:rPr>
          <w:t>12</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15" w:history="1">
        <w:r w:rsidR="00C36640" w:rsidRPr="00367AE6">
          <w:rPr>
            <w:rStyle w:val="Hipercze"/>
            <w:rFonts w:cs="Calibri Light"/>
            <w:noProof/>
          </w:rPr>
          <w:t>3.</w:t>
        </w:r>
        <w:r w:rsidR="00C36640">
          <w:rPr>
            <w:rFonts w:asciiTheme="minorHAnsi" w:eastAsiaTheme="minorEastAsia" w:hAnsiTheme="minorHAnsi" w:cstheme="minorBidi"/>
            <w:noProof/>
            <w:sz w:val="22"/>
            <w:szCs w:val="22"/>
          </w:rPr>
          <w:tab/>
        </w:r>
        <w:r w:rsidR="00C36640" w:rsidRPr="00367AE6">
          <w:rPr>
            <w:rStyle w:val="Hipercze"/>
            <w:rFonts w:cs="Calibri Light"/>
            <w:noProof/>
          </w:rPr>
          <w:t>Dochodzenie roszczeń z tytułu wypłat środków gwarantowanych</w:t>
        </w:r>
        <w:r w:rsidR="00C36640">
          <w:rPr>
            <w:noProof/>
            <w:webHidden/>
          </w:rPr>
          <w:tab/>
        </w:r>
        <w:r w:rsidR="00C36640">
          <w:rPr>
            <w:noProof/>
            <w:webHidden/>
          </w:rPr>
          <w:fldChar w:fldCharType="begin"/>
        </w:r>
        <w:r w:rsidR="00C36640">
          <w:rPr>
            <w:noProof/>
            <w:webHidden/>
          </w:rPr>
          <w:instrText xml:space="preserve"> PAGEREF _Toc116304515 \h </w:instrText>
        </w:r>
        <w:r w:rsidR="00C36640">
          <w:rPr>
            <w:noProof/>
            <w:webHidden/>
          </w:rPr>
        </w:r>
        <w:r w:rsidR="00C36640">
          <w:rPr>
            <w:noProof/>
            <w:webHidden/>
          </w:rPr>
          <w:fldChar w:fldCharType="separate"/>
        </w:r>
        <w:r w:rsidR="00CD5EA4">
          <w:rPr>
            <w:noProof/>
            <w:webHidden/>
          </w:rPr>
          <w:t>12</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16" w:history="1">
        <w:r w:rsidR="00C36640" w:rsidRPr="00367AE6">
          <w:rPr>
            <w:rStyle w:val="Hipercze"/>
            <w:rFonts w:cs="Calibri Light"/>
            <w:noProof/>
          </w:rPr>
          <w:t>4.</w:t>
        </w:r>
        <w:r w:rsidR="00C36640">
          <w:rPr>
            <w:rFonts w:asciiTheme="minorHAnsi" w:eastAsiaTheme="minorEastAsia" w:hAnsiTheme="minorHAnsi" w:cstheme="minorBidi"/>
            <w:noProof/>
            <w:sz w:val="22"/>
            <w:szCs w:val="22"/>
          </w:rPr>
          <w:tab/>
        </w:r>
        <w:r w:rsidR="00C36640" w:rsidRPr="00367AE6">
          <w:rPr>
            <w:rStyle w:val="Hipercze"/>
            <w:rFonts w:cs="Calibri Light"/>
            <w:noProof/>
          </w:rPr>
          <w:t>Inne kwestie dotyczące gwarantowania depozytów</w:t>
        </w:r>
        <w:r w:rsidR="00C36640">
          <w:rPr>
            <w:noProof/>
            <w:webHidden/>
          </w:rPr>
          <w:tab/>
        </w:r>
        <w:r w:rsidR="00C36640">
          <w:rPr>
            <w:noProof/>
            <w:webHidden/>
          </w:rPr>
          <w:fldChar w:fldCharType="begin"/>
        </w:r>
        <w:r w:rsidR="00C36640">
          <w:rPr>
            <w:noProof/>
            <w:webHidden/>
          </w:rPr>
          <w:instrText xml:space="preserve"> PAGEREF _Toc116304516 \h </w:instrText>
        </w:r>
        <w:r w:rsidR="00C36640">
          <w:rPr>
            <w:noProof/>
            <w:webHidden/>
          </w:rPr>
        </w:r>
        <w:r w:rsidR="00C36640">
          <w:rPr>
            <w:noProof/>
            <w:webHidden/>
          </w:rPr>
          <w:fldChar w:fldCharType="separate"/>
        </w:r>
        <w:r w:rsidR="00CD5EA4">
          <w:rPr>
            <w:noProof/>
            <w:webHidden/>
          </w:rPr>
          <w:t>15</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17" w:history="1">
        <w:r w:rsidR="00C36640" w:rsidRPr="00367AE6">
          <w:rPr>
            <w:rStyle w:val="Hipercze"/>
            <w:noProof/>
          </w:rPr>
          <w:t>4.1.</w:t>
        </w:r>
        <w:r w:rsidR="00C36640">
          <w:rPr>
            <w:rFonts w:asciiTheme="minorHAnsi" w:eastAsiaTheme="minorEastAsia" w:hAnsiTheme="minorHAnsi" w:cstheme="minorBidi"/>
            <w:noProof/>
            <w:sz w:val="22"/>
            <w:szCs w:val="22"/>
          </w:rPr>
          <w:tab/>
        </w:r>
        <w:r w:rsidR="00C36640" w:rsidRPr="00367AE6">
          <w:rPr>
            <w:rStyle w:val="Hipercze"/>
            <w:rFonts w:cs="Calibri Light"/>
            <w:noProof/>
          </w:rPr>
          <w:t>Opracowywanie i nowelizacja wewnętrznych aktów Funduszu</w:t>
        </w:r>
        <w:r w:rsidR="00C36640">
          <w:rPr>
            <w:noProof/>
            <w:webHidden/>
          </w:rPr>
          <w:tab/>
        </w:r>
        <w:r w:rsidR="00C36640">
          <w:rPr>
            <w:noProof/>
            <w:webHidden/>
          </w:rPr>
          <w:fldChar w:fldCharType="begin"/>
        </w:r>
        <w:r w:rsidR="00C36640">
          <w:rPr>
            <w:noProof/>
            <w:webHidden/>
          </w:rPr>
          <w:instrText xml:space="preserve"> PAGEREF _Toc116304517 \h </w:instrText>
        </w:r>
        <w:r w:rsidR="00C36640">
          <w:rPr>
            <w:noProof/>
            <w:webHidden/>
          </w:rPr>
        </w:r>
        <w:r w:rsidR="00C36640">
          <w:rPr>
            <w:noProof/>
            <w:webHidden/>
          </w:rPr>
          <w:fldChar w:fldCharType="separate"/>
        </w:r>
        <w:r w:rsidR="00CD5EA4">
          <w:rPr>
            <w:noProof/>
            <w:webHidden/>
          </w:rPr>
          <w:t>15</w:t>
        </w:r>
        <w:r w:rsidR="00C36640">
          <w:rPr>
            <w:noProof/>
            <w:webHidden/>
          </w:rPr>
          <w:fldChar w:fldCharType="end"/>
        </w:r>
      </w:hyperlink>
    </w:p>
    <w:p w:rsidR="00C36640" w:rsidRDefault="00D81D5B" w:rsidP="00C36640">
      <w:pPr>
        <w:pStyle w:val="Spistreci3"/>
        <w:ind w:left="839" w:firstLine="0"/>
        <w:rPr>
          <w:rFonts w:asciiTheme="minorHAnsi" w:eastAsiaTheme="minorEastAsia" w:hAnsiTheme="minorHAnsi" w:cstheme="minorBidi"/>
          <w:noProof/>
          <w:sz w:val="22"/>
          <w:szCs w:val="22"/>
        </w:rPr>
      </w:pPr>
      <w:hyperlink w:anchor="_Toc116304518" w:history="1">
        <w:r w:rsidR="00C36640" w:rsidRPr="00367AE6">
          <w:rPr>
            <w:rStyle w:val="Hipercze"/>
            <w:rFonts w:cs="Calibri Light"/>
            <w:noProof/>
          </w:rPr>
          <w:t>4.2.</w:t>
        </w:r>
        <w:r w:rsidR="00C36640">
          <w:rPr>
            <w:rFonts w:asciiTheme="minorHAnsi" w:eastAsiaTheme="minorEastAsia" w:hAnsiTheme="minorHAnsi" w:cstheme="minorBidi"/>
            <w:noProof/>
            <w:sz w:val="22"/>
            <w:szCs w:val="22"/>
          </w:rPr>
          <w:tab/>
        </w:r>
        <w:r w:rsidR="00C36640" w:rsidRPr="00367AE6">
          <w:rPr>
            <w:rStyle w:val="Hipercze"/>
            <w:rFonts w:cs="Calibri Light"/>
            <w:noProof/>
          </w:rPr>
          <w:t>Komunikat Bankowego Funduszu Gwarancyjnego dla klientów Wielkopolskiej SKOK, Twojej   SKOK, SKOK „Nike” i SKOK „Wybrzeże”</w:t>
        </w:r>
        <w:r w:rsidR="00C36640">
          <w:rPr>
            <w:noProof/>
            <w:webHidden/>
          </w:rPr>
          <w:tab/>
        </w:r>
        <w:r w:rsidR="00C36640">
          <w:rPr>
            <w:noProof/>
            <w:webHidden/>
          </w:rPr>
          <w:fldChar w:fldCharType="begin"/>
        </w:r>
        <w:r w:rsidR="00C36640">
          <w:rPr>
            <w:noProof/>
            <w:webHidden/>
          </w:rPr>
          <w:instrText xml:space="preserve"> PAGEREF _Toc116304518 \h </w:instrText>
        </w:r>
        <w:r w:rsidR="00C36640">
          <w:rPr>
            <w:noProof/>
            <w:webHidden/>
          </w:rPr>
        </w:r>
        <w:r w:rsidR="00C36640">
          <w:rPr>
            <w:noProof/>
            <w:webHidden/>
          </w:rPr>
          <w:fldChar w:fldCharType="separate"/>
        </w:r>
        <w:r w:rsidR="00CD5EA4">
          <w:rPr>
            <w:noProof/>
            <w:webHidden/>
          </w:rPr>
          <w:t>15</w:t>
        </w:r>
        <w:r w:rsidR="00C36640">
          <w:rPr>
            <w:noProof/>
            <w:webHidden/>
          </w:rPr>
          <w:fldChar w:fldCharType="end"/>
        </w:r>
      </w:hyperlink>
    </w:p>
    <w:p w:rsidR="00C36640" w:rsidRDefault="00D81D5B">
      <w:pPr>
        <w:pStyle w:val="Spistreci1"/>
        <w:rPr>
          <w:rFonts w:eastAsiaTheme="minorEastAsia" w:cstheme="minorBidi"/>
          <w:b w:val="0"/>
          <w:sz w:val="22"/>
          <w:szCs w:val="22"/>
        </w:rPr>
      </w:pPr>
      <w:hyperlink w:anchor="_Toc116304519" w:history="1">
        <w:r w:rsidR="00C36640" w:rsidRPr="00367AE6">
          <w:rPr>
            <w:rStyle w:val="Hipercze"/>
            <w:rFonts w:cs="Calibri Light"/>
          </w:rPr>
          <w:t>Część 2. Restrukturyzacja</w:t>
        </w:r>
        <w:r w:rsidR="00C36640">
          <w:rPr>
            <w:webHidden/>
          </w:rPr>
          <w:tab/>
        </w:r>
        <w:r w:rsidR="00C36640">
          <w:rPr>
            <w:webHidden/>
          </w:rPr>
          <w:fldChar w:fldCharType="begin"/>
        </w:r>
        <w:r w:rsidR="00C36640">
          <w:rPr>
            <w:webHidden/>
          </w:rPr>
          <w:instrText xml:space="preserve"> PAGEREF _Toc116304519 \h </w:instrText>
        </w:r>
        <w:r w:rsidR="00C36640">
          <w:rPr>
            <w:webHidden/>
          </w:rPr>
        </w:r>
        <w:r w:rsidR="00C36640">
          <w:rPr>
            <w:webHidden/>
          </w:rPr>
          <w:fldChar w:fldCharType="separate"/>
        </w:r>
        <w:r w:rsidR="00CD5EA4">
          <w:rPr>
            <w:webHidden/>
          </w:rPr>
          <w:t>16</w:t>
        </w:r>
        <w:r w:rsidR="00C36640">
          <w:rPr>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20" w:history="1">
        <w:r w:rsidR="00C36640" w:rsidRPr="00367AE6">
          <w:rPr>
            <w:rStyle w:val="Hipercze"/>
            <w:rFonts w:cs="Calibri Light"/>
            <w:noProof/>
          </w:rPr>
          <w:t>1.</w:t>
        </w:r>
        <w:r w:rsidR="00C36640">
          <w:rPr>
            <w:rFonts w:asciiTheme="minorHAnsi" w:eastAsiaTheme="minorEastAsia" w:hAnsiTheme="minorHAnsi" w:cstheme="minorBidi"/>
            <w:noProof/>
            <w:sz w:val="22"/>
            <w:szCs w:val="22"/>
          </w:rPr>
          <w:tab/>
        </w:r>
        <w:r w:rsidR="00C36640" w:rsidRPr="00367AE6">
          <w:rPr>
            <w:rStyle w:val="Hipercze"/>
            <w:rFonts w:cs="Calibri Light"/>
            <w:noProof/>
          </w:rPr>
          <w:t>Realizacja zadań związanych z opracowaniem,</w:t>
        </w:r>
        <w:r w:rsidR="00C63EAC">
          <w:rPr>
            <w:rStyle w:val="Hipercze"/>
            <w:rFonts w:cs="Calibri Light"/>
            <w:noProof/>
          </w:rPr>
          <w:t xml:space="preserve"> przeglądem, oceną wykonalności </w:t>
        </w:r>
        <w:r w:rsidR="00C36640" w:rsidRPr="00367AE6">
          <w:rPr>
            <w:rStyle w:val="Hipercze"/>
            <w:rFonts w:cs="Calibri Light"/>
            <w:noProof/>
          </w:rPr>
          <w:t>i aktualizacją planów przymusowej restrukturyzacji i grupowych planów przymusowej restrukturyzacji</w:t>
        </w:r>
        <w:r w:rsidR="00C36640">
          <w:rPr>
            <w:noProof/>
            <w:webHidden/>
          </w:rPr>
          <w:tab/>
        </w:r>
        <w:r w:rsidR="00C36640">
          <w:rPr>
            <w:noProof/>
            <w:webHidden/>
          </w:rPr>
          <w:fldChar w:fldCharType="begin"/>
        </w:r>
        <w:r w:rsidR="00C36640">
          <w:rPr>
            <w:noProof/>
            <w:webHidden/>
          </w:rPr>
          <w:instrText xml:space="preserve"> PAGEREF _Toc116304520 \h </w:instrText>
        </w:r>
        <w:r w:rsidR="00C36640">
          <w:rPr>
            <w:noProof/>
            <w:webHidden/>
          </w:rPr>
        </w:r>
        <w:r w:rsidR="00C36640">
          <w:rPr>
            <w:noProof/>
            <w:webHidden/>
          </w:rPr>
          <w:fldChar w:fldCharType="separate"/>
        </w:r>
        <w:r w:rsidR="00CD5EA4">
          <w:rPr>
            <w:noProof/>
            <w:webHidden/>
          </w:rPr>
          <w:t>16</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21" w:history="1">
        <w:r w:rsidR="00C36640" w:rsidRPr="00367AE6">
          <w:rPr>
            <w:rStyle w:val="Hipercze"/>
            <w:rFonts w:cs="Calibri Light"/>
            <w:noProof/>
          </w:rPr>
          <w:t>2.</w:t>
        </w:r>
        <w:r w:rsidR="00C36640">
          <w:rPr>
            <w:rFonts w:asciiTheme="minorHAnsi" w:eastAsiaTheme="minorEastAsia" w:hAnsiTheme="minorHAnsi" w:cstheme="minorBidi"/>
            <w:noProof/>
            <w:sz w:val="22"/>
            <w:szCs w:val="22"/>
          </w:rPr>
          <w:tab/>
        </w:r>
        <w:r w:rsidR="00C36640" w:rsidRPr="00367AE6">
          <w:rPr>
            <w:rStyle w:val="Hipercze"/>
            <w:rFonts w:cs="Calibri Light"/>
            <w:noProof/>
          </w:rPr>
          <w:t>Monitoring realizacji umów, na podstawie których udzielono pomocy lub wsparcia</w:t>
        </w:r>
        <w:r w:rsidR="00C36640">
          <w:rPr>
            <w:noProof/>
            <w:webHidden/>
          </w:rPr>
          <w:tab/>
        </w:r>
        <w:r w:rsidR="00C36640">
          <w:rPr>
            <w:noProof/>
            <w:webHidden/>
          </w:rPr>
          <w:fldChar w:fldCharType="begin"/>
        </w:r>
        <w:r w:rsidR="00C36640">
          <w:rPr>
            <w:noProof/>
            <w:webHidden/>
          </w:rPr>
          <w:instrText xml:space="preserve"> PAGEREF _Toc116304521 \h </w:instrText>
        </w:r>
        <w:r w:rsidR="00C36640">
          <w:rPr>
            <w:noProof/>
            <w:webHidden/>
          </w:rPr>
        </w:r>
        <w:r w:rsidR="00C36640">
          <w:rPr>
            <w:noProof/>
            <w:webHidden/>
          </w:rPr>
          <w:fldChar w:fldCharType="separate"/>
        </w:r>
        <w:r w:rsidR="00CD5EA4">
          <w:rPr>
            <w:noProof/>
            <w:webHidden/>
          </w:rPr>
          <w:t>18</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22" w:history="1">
        <w:r w:rsidR="00C36640" w:rsidRPr="00367AE6">
          <w:rPr>
            <w:rStyle w:val="Hipercze"/>
            <w:rFonts w:cs="Calibri Light"/>
            <w:noProof/>
          </w:rPr>
          <w:t>3.</w:t>
        </w:r>
        <w:r w:rsidR="00C36640">
          <w:rPr>
            <w:rFonts w:asciiTheme="minorHAnsi" w:eastAsiaTheme="minorEastAsia" w:hAnsiTheme="minorHAnsi" w:cstheme="minorBidi"/>
            <w:noProof/>
            <w:sz w:val="22"/>
            <w:szCs w:val="22"/>
          </w:rPr>
          <w:tab/>
        </w:r>
        <w:r w:rsidR="00C36640" w:rsidRPr="00367AE6">
          <w:rPr>
            <w:rStyle w:val="Hipercze"/>
            <w:rFonts w:cs="Calibri Light"/>
            <w:noProof/>
          </w:rPr>
          <w:t>Restrukturyzacja firm ubezpieczeniowych</w:t>
        </w:r>
        <w:r w:rsidR="00C36640">
          <w:rPr>
            <w:noProof/>
            <w:webHidden/>
          </w:rPr>
          <w:tab/>
        </w:r>
        <w:r w:rsidR="00C36640">
          <w:rPr>
            <w:noProof/>
            <w:webHidden/>
          </w:rPr>
          <w:fldChar w:fldCharType="begin"/>
        </w:r>
        <w:r w:rsidR="00C36640">
          <w:rPr>
            <w:noProof/>
            <w:webHidden/>
          </w:rPr>
          <w:instrText xml:space="preserve"> PAGEREF _Toc116304522 \h </w:instrText>
        </w:r>
        <w:r w:rsidR="00C36640">
          <w:rPr>
            <w:noProof/>
            <w:webHidden/>
          </w:rPr>
        </w:r>
        <w:r w:rsidR="00C36640">
          <w:rPr>
            <w:noProof/>
            <w:webHidden/>
          </w:rPr>
          <w:fldChar w:fldCharType="separate"/>
        </w:r>
        <w:r w:rsidR="00CD5EA4">
          <w:rPr>
            <w:noProof/>
            <w:webHidden/>
          </w:rPr>
          <w:t>20</w:t>
        </w:r>
        <w:r w:rsidR="00C36640">
          <w:rPr>
            <w:noProof/>
            <w:webHidden/>
          </w:rPr>
          <w:fldChar w:fldCharType="end"/>
        </w:r>
      </w:hyperlink>
    </w:p>
    <w:p w:rsidR="00C36640" w:rsidRDefault="00D81D5B">
      <w:pPr>
        <w:pStyle w:val="Spistreci1"/>
        <w:rPr>
          <w:rFonts w:eastAsiaTheme="minorEastAsia" w:cstheme="minorBidi"/>
          <w:b w:val="0"/>
          <w:sz w:val="22"/>
          <w:szCs w:val="22"/>
        </w:rPr>
      </w:pPr>
      <w:hyperlink w:anchor="_Toc116304523" w:history="1">
        <w:r w:rsidR="00C36640" w:rsidRPr="00367AE6">
          <w:rPr>
            <w:rStyle w:val="Hipercze"/>
            <w:rFonts w:cs="Calibri Light"/>
          </w:rPr>
          <w:t>Część 3. Przymusowa restrukturyzacja</w:t>
        </w:r>
        <w:r w:rsidR="00C36640">
          <w:rPr>
            <w:webHidden/>
          </w:rPr>
          <w:tab/>
        </w:r>
        <w:r w:rsidR="00C36640">
          <w:rPr>
            <w:webHidden/>
          </w:rPr>
          <w:fldChar w:fldCharType="begin"/>
        </w:r>
        <w:r w:rsidR="00C36640">
          <w:rPr>
            <w:webHidden/>
          </w:rPr>
          <w:instrText xml:space="preserve"> PAGEREF _Toc116304523 \h </w:instrText>
        </w:r>
        <w:r w:rsidR="00C36640">
          <w:rPr>
            <w:webHidden/>
          </w:rPr>
        </w:r>
        <w:r w:rsidR="00C36640">
          <w:rPr>
            <w:webHidden/>
          </w:rPr>
          <w:fldChar w:fldCharType="separate"/>
        </w:r>
        <w:r w:rsidR="00CD5EA4">
          <w:rPr>
            <w:webHidden/>
          </w:rPr>
          <w:t>21</w:t>
        </w:r>
        <w:r w:rsidR="00C36640">
          <w:rPr>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24" w:history="1">
        <w:r w:rsidR="00C36640" w:rsidRPr="00367AE6">
          <w:rPr>
            <w:rStyle w:val="Hipercze"/>
            <w:rFonts w:cs="Calibri Light"/>
            <w:noProof/>
          </w:rPr>
          <w:t>1.</w:t>
        </w:r>
        <w:r w:rsidR="00C36640">
          <w:rPr>
            <w:rFonts w:asciiTheme="minorHAnsi" w:eastAsiaTheme="minorEastAsia" w:hAnsiTheme="minorHAnsi" w:cstheme="minorBidi"/>
            <w:noProof/>
            <w:sz w:val="22"/>
            <w:szCs w:val="22"/>
          </w:rPr>
          <w:tab/>
        </w:r>
        <w:r w:rsidR="00C36640" w:rsidRPr="00367AE6">
          <w:rPr>
            <w:rStyle w:val="Hipercze"/>
            <w:rFonts w:cs="Calibri Light"/>
            <w:noProof/>
          </w:rPr>
          <w:t>Proces przymusowej restrukturyzacji Idea Banku S.A.</w:t>
        </w:r>
        <w:r w:rsidR="00C36640">
          <w:rPr>
            <w:noProof/>
            <w:webHidden/>
          </w:rPr>
          <w:tab/>
        </w:r>
        <w:r w:rsidR="00C36640">
          <w:rPr>
            <w:noProof/>
            <w:webHidden/>
          </w:rPr>
          <w:fldChar w:fldCharType="begin"/>
        </w:r>
        <w:r w:rsidR="00C36640">
          <w:rPr>
            <w:noProof/>
            <w:webHidden/>
          </w:rPr>
          <w:instrText xml:space="preserve"> PAGEREF _Toc116304524 \h </w:instrText>
        </w:r>
        <w:r w:rsidR="00C36640">
          <w:rPr>
            <w:noProof/>
            <w:webHidden/>
          </w:rPr>
        </w:r>
        <w:r w:rsidR="00C36640">
          <w:rPr>
            <w:noProof/>
            <w:webHidden/>
          </w:rPr>
          <w:fldChar w:fldCharType="separate"/>
        </w:r>
        <w:r w:rsidR="00CD5EA4">
          <w:rPr>
            <w:noProof/>
            <w:webHidden/>
          </w:rPr>
          <w:t>21</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25" w:history="1">
        <w:r w:rsidR="00C36640" w:rsidRPr="00367AE6">
          <w:rPr>
            <w:rStyle w:val="Hipercze"/>
            <w:noProof/>
          </w:rPr>
          <w:t>2.</w:t>
        </w:r>
        <w:r w:rsidR="00C36640">
          <w:rPr>
            <w:rFonts w:asciiTheme="minorHAnsi" w:eastAsiaTheme="minorEastAsia" w:hAnsiTheme="minorHAnsi" w:cstheme="minorBidi"/>
            <w:noProof/>
            <w:sz w:val="22"/>
            <w:szCs w:val="22"/>
          </w:rPr>
          <w:tab/>
        </w:r>
        <w:r w:rsidR="00C36640" w:rsidRPr="00367AE6">
          <w:rPr>
            <w:rStyle w:val="Hipercze"/>
            <w:noProof/>
          </w:rPr>
          <w:t>Proces przymusowej restrukturyzacji Getin Noble Banku S.A.</w:t>
        </w:r>
        <w:r w:rsidR="00C36640">
          <w:rPr>
            <w:noProof/>
            <w:webHidden/>
          </w:rPr>
          <w:tab/>
        </w:r>
        <w:r w:rsidR="00C36640">
          <w:rPr>
            <w:noProof/>
            <w:webHidden/>
          </w:rPr>
          <w:fldChar w:fldCharType="begin"/>
        </w:r>
        <w:r w:rsidR="00C36640">
          <w:rPr>
            <w:noProof/>
            <w:webHidden/>
          </w:rPr>
          <w:instrText xml:space="preserve"> PAGEREF _Toc116304525 \h </w:instrText>
        </w:r>
        <w:r w:rsidR="00C36640">
          <w:rPr>
            <w:noProof/>
            <w:webHidden/>
          </w:rPr>
        </w:r>
        <w:r w:rsidR="00C36640">
          <w:rPr>
            <w:noProof/>
            <w:webHidden/>
          </w:rPr>
          <w:fldChar w:fldCharType="separate"/>
        </w:r>
        <w:r w:rsidR="00CD5EA4">
          <w:rPr>
            <w:noProof/>
            <w:webHidden/>
          </w:rPr>
          <w:t>22</w:t>
        </w:r>
        <w:r w:rsidR="00C36640">
          <w:rPr>
            <w:noProof/>
            <w:webHidden/>
          </w:rPr>
          <w:fldChar w:fldCharType="end"/>
        </w:r>
      </w:hyperlink>
    </w:p>
    <w:p w:rsidR="00C36640" w:rsidRDefault="00D81D5B">
      <w:pPr>
        <w:pStyle w:val="Spistreci1"/>
        <w:rPr>
          <w:rFonts w:eastAsiaTheme="minorEastAsia" w:cstheme="minorBidi"/>
          <w:b w:val="0"/>
          <w:sz w:val="22"/>
          <w:szCs w:val="22"/>
        </w:rPr>
      </w:pPr>
      <w:hyperlink w:anchor="_Toc116304526" w:history="1">
        <w:r w:rsidR="00C36640" w:rsidRPr="00367AE6">
          <w:rPr>
            <w:rStyle w:val="Hipercze"/>
            <w:rFonts w:cs="Calibri Light"/>
          </w:rPr>
          <w:t>Część 4. Działalność analityczna</w:t>
        </w:r>
        <w:r w:rsidR="00C36640">
          <w:rPr>
            <w:webHidden/>
          </w:rPr>
          <w:tab/>
        </w:r>
        <w:r w:rsidR="00C36640">
          <w:rPr>
            <w:webHidden/>
          </w:rPr>
          <w:fldChar w:fldCharType="begin"/>
        </w:r>
        <w:r w:rsidR="00C36640">
          <w:rPr>
            <w:webHidden/>
          </w:rPr>
          <w:instrText xml:space="preserve"> PAGEREF _Toc116304526 \h </w:instrText>
        </w:r>
        <w:r w:rsidR="00C36640">
          <w:rPr>
            <w:webHidden/>
          </w:rPr>
        </w:r>
        <w:r w:rsidR="00C36640">
          <w:rPr>
            <w:webHidden/>
          </w:rPr>
          <w:fldChar w:fldCharType="separate"/>
        </w:r>
        <w:r w:rsidR="00CD5EA4">
          <w:rPr>
            <w:webHidden/>
          </w:rPr>
          <w:t>25</w:t>
        </w:r>
        <w:r w:rsidR="00C36640">
          <w:rPr>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27" w:history="1">
        <w:r w:rsidR="00C36640" w:rsidRPr="00367AE6">
          <w:rPr>
            <w:rStyle w:val="Hipercze"/>
            <w:rFonts w:cs="Calibri Light"/>
            <w:noProof/>
          </w:rPr>
          <w:t>1.</w:t>
        </w:r>
        <w:r w:rsidR="00C36640">
          <w:rPr>
            <w:rFonts w:asciiTheme="minorHAnsi" w:eastAsiaTheme="minorEastAsia" w:hAnsiTheme="minorHAnsi" w:cstheme="minorBidi"/>
            <w:noProof/>
            <w:sz w:val="22"/>
            <w:szCs w:val="22"/>
          </w:rPr>
          <w:tab/>
        </w:r>
        <w:r w:rsidR="00C36640" w:rsidRPr="00367AE6">
          <w:rPr>
            <w:rStyle w:val="Hipercze"/>
            <w:rFonts w:cs="Calibri Light"/>
            <w:noProof/>
          </w:rPr>
          <w:t>Zakres i cel analiz</w:t>
        </w:r>
        <w:r w:rsidR="00C36640">
          <w:rPr>
            <w:noProof/>
            <w:webHidden/>
          </w:rPr>
          <w:tab/>
        </w:r>
        <w:r w:rsidR="00C36640">
          <w:rPr>
            <w:noProof/>
            <w:webHidden/>
          </w:rPr>
          <w:fldChar w:fldCharType="begin"/>
        </w:r>
        <w:r w:rsidR="00C36640">
          <w:rPr>
            <w:noProof/>
            <w:webHidden/>
          </w:rPr>
          <w:instrText xml:space="preserve"> PAGEREF _Toc116304527 \h </w:instrText>
        </w:r>
        <w:r w:rsidR="00C36640">
          <w:rPr>
            <w:noProof/>
            <w:webHidden/>
          </w:rPr>
        </w:r>
        <w:r w:rsidR="00C36640">
          <w:rPr>
            <w:noProof/>
            <w:webHidden/>
          </w:rPr>
          <w:fldChar w:fldCharType="separate"/>
        </w:r>
        <w:r w:rsidR="00CD5EA4">
          <w:rPr>
            <w:noProof/>
            <w:webHidden/>
          </w:rPr>
          <w:t>25</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28" w:history="1">
        <w:r w:rsidR="00C36640" w:rsidRPr="00367AE6">
          <w:rPr>
            <w:rStyle w:val="Hipercze"/>
            <w:rFonts w:cs="Calibri Light"/>
            <w:noProof/>
          </w:rPr>
          <w:t>2.</w:t>
        </w:r>
        <w:r w:rsidR="00C36640">
          <w:rPr>
            <w:rFonts w:asciiTheme="minorHAnsi" w:eastAsiaTheme="minorEastAsia" w:hAnsiTheme="minorHAnsi" w:cstheme="minorBidi"/>
            <w:noProof/>
            <w:sz w:val="22"/>
            <w:szCs w:val="22"/>
          </w:rPr>
          <w:tab/>
        </w:r>
        <w:r w:rsidR="00C36640" w:rsidRPr="00367AE6">
          <w:rPr>
            <w:rStyle w:val="Hipercze"/>
            <w:rFonts w:cs="Calibri Light"/>
            <w:noProof/>
          </w:rPr>
          <w:t xml:space="preserve">Wyznaczanie składek na system gwarantowania depozytów i przymusową </w:t>
        </w:r>
        <w:r w:rsidR="000E5439">
          <w:rPr>
            <w:rStyle w:val="Hipercze"/>
            <w:rFonts w:cs="Calibri Light"/>
            <w:noProof/>
          </w:rPr>
          <w:t xml:space="preserve">  </w:t>
        </w:r>
        <w:r w:rsidR="00C36640" w:rsidRPr="00367AE6">
          <w:rPr>
            <w:rStyle w:val="Hipercze"/>
            <w:rFonts w:cs="Calibri Light"/>
            <w:noProof/>
          </w:rPr>
          <w:t>restrukturyzację</w:t>
        </w:r>
        <w:r w:rsidR="00C36640">
          <w:rPr>
            <w:noProof/>
            <w:webHidden/>
          </w:rPr>
          <w:tab/>
        </w:r>
        <w:r w:rsidR="00C36640">
          <w:rPr>
            <w:noProof/>
            <w:webHidden/>
          </w:rPr>
          <w:fldChar w:fldCharType="begin"/>
        </w:r>
        <w:r w:rsidR="00C36640">
          <w:rPr>
            <w:noProof/>
            <w:webHidden/>
          </w:rPr>
          <w:instrText xml:space="preserve"> PAGEREF _Toc116304528 \h </w:instrText>
        </w:r>
        <w:r w:rsidR="00C36640">
          <w:rPr>
            <w:noProof/>
            <w:webHidden/>
          </w:rPr>
        </w:r>
        <w:r w:rsidR="00C36640">
          <w:rPr>
            <w:noProof/>
            <w:webHidden/>
          </w:rPr>
          <w:fldChar w:fldCharType="separate"/>
        </w:r>
        <w:r w:rsidR="00CD5EA4">
          <w:rPr>
            <w:noProof/>
            <w:webHidden/>
          </w:rPr>
          <w:t>26</w:t>
        </w:r>
        <w:r w:rsidR="00C36640">
          <w:rPr>
            <w:noProof/>
            <w:webHidden/>
          </w:rPr>
          <w:fldChar w:fldCharType="end"/>
        </w:r>
      </w:hyperlink>
    </w:p>
    <w:p w:rsidR="00C36640" w:rsidRDefault="00D81D5B">
      <w:pPr>
        <w:pStyle w:val="Spistreci1"/>
        <w:rPr>
          <w:rFonts w:eastAsiaTheme="minorEastAsia" w:cstheme="minorBidi"/>
          <w:b w:val="0"/>
          <w:sz w:val="22"/>
          <w:szCs w:val="22"/>
        </w:rPr>
      </w:pPr>
      <w:hyperlink w:anchor="_Toc116304529" w:history="1">
        <w:r w:rsidR="00C36640" w:rsidRPr="00367AE6">
          <w:rPr>
            <w:rStyle w:val="Hipercze"/>
            <w:rFonts w:cs="Calibri Light"/>
          </w:rPr>
          <w:t>Część 5. Pozostała działalność Funduszu</w:t>
        </w:r>
        <w:r w:rsidR="00C36640">
          <w:rPr>
            <w:webHidden/>
          </w:rPr>
          <w:tab/>
        </w:r>
        <w:r w:rsidR="00C36640">
          <w:rPr>
            <w:webHidden/>
          </w:rPr>
          <w:fldChar w:fldCharType="begin"/>
        </w:r>
        <w:r w:rsidR="00C36640">
          <w:rPr>
            <w:webHidden/>
          </w:rPr>
          <w:instrText xml:space="preserve"> PAGEREF _Toc116304529 \h </w:instrText>
        </w:r>
        <w:r w:rsidR="00C36640">
          <w:rPr>
            <w:webHidden/>
          </w:rPr>
        </w:r>
        <w:r w:rsidR="00C36640">
          <w:rPr>
            <w:webHidden/>
          </w:rPr>
          <w:fldChar w:fldCharType="separate"/>
        </w:r>
        <w:r w:rsidR="00CD5EA4">
          <w:rPr>
            <w:webHidden/>
          </w:rPr>
          <w:t>27</w:t>
        </w:r>
        <w:r w:rsidR="00C36640">
          <w:rPr>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0" w:history="1">
        <w:r w:rsidR="00C36640" w:rsidRPr="00367AE6">
          <w:rPr>
            <w:rStyle w:val="Hipercze"/>
            <w:rFonts w:cs="Calibri Light"/>
            <w:noProof/>
          </w:rPr>
          <w:t>1.</w:t>
        </w:r>
        <w:r w:rsidR="00C36640">
          <w:rPr>
            <w:rFonts w:asciiTheme="minorHAnsi" w:eastAsiaTheme="minorEastAsia" w:hAnsiTheme="minorHAnsi" w:cstheme="minorBidi"/>
            <w:noProof/>
            <w:sz w:val="22"/>
            <w:szCs w:val="22"/>
          </w:rPr>
          <w:tab/>
        </w:r>
        <w:r w:rsidR="00C36640" w:rsidRPr="00367AE6">
          <w:rPr>
            <w:rStyle w:val="Hipercze"/>
            <w:rFonts w:cs="Calibri Light"/>
            <w:noProof/>
          </w:rPr>
          <w:t>Inwestowanie środków finansowych Funduszu</w:t>
        </w:r>
        <w:r w:rsidR="00C36640">
          <w:rPr>
            <w:noProof/>
            <w:webHidden/>
          </w:rPr>
          <w:tab/>
        </w:r>
        <w:r w:rsidR="00C36640">
          <w:rPr>
            <w:noProof/>
            <w:webHidden/>
          </w:rPr>
          <w:fldChar w:fldCharType="begin"/>
        </w:r>
        <w:r w:rsidR="00C36640">
          <w:rPr>
            <w:noProof/>
            <w:webHidden/>
          </w:rPr>
          <w:instrText xml:space="preserve"> PAGEREF _Toc116304530 \h </w:instrText>
        </w:r>
        <w:r w:rsidR="00C36640">
          <w:rPr>
            <w:noProof/>
            <w:webHidden/>
          </w:rPr>
        </w:r>
        <w:r w:rsidR="00C36640">
          <w:rPr>
            <w:noProof/>
            <w:webHidden/>
          </w:rPr>
          <w:fldChar w:fldCharType="separate"/>
        </w:r>
        <w:r w:rsidR="00CD5EA4">
          <w:rPr>
            <w:noProof/>
            <w:webHidden/>
          </w:rPr>
          <w:t>27</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1" w:history="1">
        <w:r w:rsidR="00C36640" w:rsidRPr="00367AE6">
          <w:rPr>
            <w:rStyle w:val="Hipercze"/>
            <w:rFonts w:cs="Calibri Light"/>
            <w:noProof/>
          </w:rPr>
          <w:t>2.</w:t>
        </w:r>
        <w:r w:rsidR="00C36640">
          <w:rPr>
            <w:rFonts w:asciiTheme="minorHAnsi" w:eastAsiaTheme="minorEastAsia" w:hAnsiTheme="minorHAnsi" w:cstheme="minorBidi"/>
            <w:noProof/>
            <w:sz w:val="22"/>
            <w:szCs w:val="22"/>
          </w:rPr>
          <w:tab/>
        </w:r>
        <w:r w:rsidR="00C36640" w:rsidRPr="00367AE6">
          <w:rPr>
            <w:rStyle w:val="Hipercze"/>
            <w:rFonts w:cs="Calibri Light"/>
            <w:noProof/>
          </w:rPr>
          <w:t>Gospodarka finansowa Funduszu</w:t>
        </w:r>
        <w:r w:rsidR="00C36640">
          <w:rPr>
            <w:noProof/>
            <w:webHidden/>
          </w:rPr>
          <w:tab/>
        </w:r>
        <w:r w:rsidR="00C36640">
          <w:rPr>
            <w:noProof/>
            <w:webHidden/>
          </w:rPr>
          <w:fldChar w:fldCharType="begin"/>
        </w:r>
        <w:r w:rsidR="00C36640">
          <w:rPr>
            <w:noProof/>
            <w:webHidden/>
          </w:rPr>
          <w:instrText xml:space="preserve"> PAGEREF _Toc116304531 \h </w:instrText>
        </w:r>
        <w:r w:rsidR="00C36640">
          <w:rPr>
            <w:noProof/>
            <w:webHidden/>
          </w:rPr>
        </w:r>
        <w:r w:rsidR="00C36640">
          <w:rPr>
            <w:noProof/>
            <w:webHidden/>
          </w:rPr>
          <w:fldChar w:fldCharType="separate"/>
        </w:r>
        <w:r w:rsidR="00CD5EA4">
          <w:rPr>
            <w:noProof/>
            <w:webHidden/>
          </w:rPr>
          <w:t>28</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2" w:history="1">
        <w:r w:rsidR="00C36640" w:rsidRPr="00367AE6">
          <w:rPr>
            <w:rStyle w:val="Hipercze"/>
            <w:rFonts w:cs="Calibri Light"/>
            <w:noProof/>
          </w:rPr>
          <w:t>3.</w:t>
        </w:r>
        <w:r w:rsidR="00C36640">
          <w:rPr>
            <w:rFonts w:asciiTheme="minorHAnsi" w:eastAsiaTheme="minorEastAsia" w:hAnsiTheme="minorHAnsi" w:cstheme="minorBidi"/>
            <w:noProof/>
            <w:sz w:val="22"/>
            <w:szCs w:val="22"/>
          </w:rPr>
          <w:tab/>
        </w:r>
        <w:r w:rsidR="00C36640" w:rsidRPr="00367AE6">
          <w:rPr>
            <w:rStyle w:val="Hipercze"/>
            <w:rFonts w:cs="Calibri Light"/>
            <w:noProof/>
          </w:rPr>
          <w:t>Realizacja zadań kuratora</w:t>
        </w:r>
        <w:r w:rsidR="00C36640">
          <w:rPr>
            <w:noProof/>
            <w:webHidden/>
          </w:rPr>
          <w:tab/>
        </w:r>
        <w:r w:rsidR="00C36640">
          <w:rPr>
            <w:noProof/>
            <w:webHidden/>
          </w:rPr>
          <w:fldChar w:fldCharType="begin"/>
        </w:r>
        <w:r w:rsidR="00C36640">
          <w:rPr>
            <w:noProof/>
            <w:webHidden/>
          </w:rPr>
          <w:instrText xml:space="preserve"> PAGEREF _Toc116304532 \h </w:instrText>
        </w:r>
        <w:r w:rsidR="00C36640">
          <w:rPr>
            <w:noProof/>
            <w:webHidden/>
          </w:rPr>
        </w:r>
        <w:r w:rsidR="00C36640">
          <w:rPr>
            <w:noProof/>
            <w:webHidden/>
          </w:rPr>
          <w:fldChar w:fldCharType="separate"/>
        </w:r>
        <w:r w:rsidR="00CD5EA4">
          <w:rPr>
            <w:noProof/>
            <w:webHidden/>
          </w:rPr>
          <w:t>32</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3" w:history="1">
        <w:r w:rsidR="00C36640" w:rsidRPr="00367AE6">
          <w:rPr>
            <w:rStyle w:val="Hipercze"/>
            <w:rFonts w:cs="Calibri Light"/>
            <w:noProof/>
          </w:rPr>
          <w:t>4.</w:t>
        </w:r>
        <w:r w:rsidR="00C36640">
          <w:rPr>
            <w:rFonts w:asciiTheme="minorHAnsi" w:eastAsiaTheme="minorEastAsia" w:hAnsiTheme="minorHAnsi" w:cstheme="minorBidi"/>
            <w:noProof/>
            <w:sz w:val="22"/>
            <w:szCs w:val="22"/>
          </w:rPr>
          <w:tab/>
        </w:r>
        <w:r w:rsidR="00C36640" w:rsidRPr="00367AE6">
          <w:rPr>
            <w:rStyle w:val="Hipercze"/>
            <w:rFonts w:cs="Calibri Light"/>
            <w:noProof/>
          </w:rPr>
          <w:t>Zarządzanie ryzykiem operacyjnym i ryzykiem braku zgodności</w:t>
        </w:r>
        <w:r w:rsidR="00C36640">
          <w:rPr>
            <w:noProof/>
            <w:webHidden/>
          </w:rPr>
          <w:tab/>
        </w:r>
        <w:r w:rsidR="00C36640">
          <w:rPr>
            <w:noProof/>
            <w:webHidden/>
          </w:rPr>
          <w:fldChar w:fldCharType="begin"/>
        </w:r>
        <w:r w:rsidR="00C36640">
          <w:rPr>
            <w:noProof/>
            <w:webHidden/>
          </w:rPr>
          <w:instrText xml:space="preserve"> PAGEREF _Toc116304533 \h </w:instrText>
        </w:r>
        <w:r w:rsidR="00C36640">
          <w:rPr>
            <w:noProof/>
            <w:webHidden/>
          </w:rPr>
        </w:r>
        <w:r w:rsidR="00C36640">
          <w:rPr>
            <w:noProof/>
            <w:webHidden/>
          </w:rPr>
          <w:fldChar w:fldCharType="separate"/>
        </w:r>
        <w:r w:rsidR="00CD5EA4">
          <w:rPr>
            <w:noProof/>
            <w:webHidden/>
          </w:rPr>
          <w:t>33</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4" w:history="1">
        <w:r w:rsidR="00C36640" w:rsidRPr="00367AE6">
          <w:rPr>
            <w:rStyle w:val="Hipercze"/>
            <w:rFonts w:cs="Calibri Light"/>
            <w:noProof/>
          </w:rPr>
          <w:t>5.</w:t>
        </w:r>
        <w:r w:rsidR="00C36640">
          <w:rPr>
            <w:rFonts w:asciiTheme="minorHAnsi" w:eastAsiaTheme="minorEastAsia" w:hAnsiTheme="minorHAnsi" w:cstheme="minorBidi"/>
            <w:noProof/>
            <w:sz w:val="22"/>
            <w:szCs w:val="22"/>
          </w:rPr>
          <w:tab/>
        </w:r>
        <w:r w:rsidR="00C36640" w:rsidRPr="00367AE6">
          <w:rPr>
            <w:rStyle w:val="Hipercze"/>
            <w:rFonts w:cs="Calibri Light"/>
            <w:noProof/>
          </w:rPr>
          <w:t>Rozwijanie zasobów informacyjnych</w:t>
        </w:r>
        <w:r w:rsidR="00C36640">
          <w:rPr>
            <w:noProof/>
            <w:webHidden/>
          </w:rPr>
          <w:tab/>
        </w:r>
        <w:r w:rsidR="00C36640">
          <w:rPr>
            <w:noProof/>
            <w:webHidden/>
          </w:rPr>
          <w:fldChar w:fldCharType="begin"/>
        </w:r>
        <w:r w:rsidR="00C36640">
          <w:rPr>
            <w:noProof/>
            <w:webHidden/>
          </w:rPr>
          <w:instrText xml:space="preserve"> PAGEREF _Toc116304534 \h </w:instrText>
        </w:r>
        <w:r w:rsidR="00C36640">
          <w:rPr>
            <w:noProof/>
            <w:webHidden/>
          </w:rPr>
        </w:r>
        <w:r w:rsidR="00C36640">
          <w:rPr>
            <w:noProof/>
            <w:webHidden/>
          </w:rPr>
          <w:fldChar w:fldCharType="separate"/>
        </w:r>
        <w:r w:rsidR="00CD5EA4">
          <w:rPr>
            <w:noProof/>
            <w:webHidden/>
          </w:rPr>
          <w:t>34</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5" w:history="1">
        <w:r w:rsidR="00C36640" w:rsidRPr="00367AE6">
          <w:rPr>
            <w:rStyle w:val="Hipercze"/>
            <w:rFonts w:cs="Calibri Light"/>
            <w:noProof/>
          </w:rPr>
          <w:t>6.</w:t>
        </w:r>
        <w:r w:rsidR="00C36640">
          <w:rPr>
            <w:rFonts w:asciiTheme="minorHAnsi" w:eastAsiaTheme="minorEastAsia" w:hAnsiTheme="minorHAnsi" w:cstheme="minorBidi"/>
            <w:noProof/>
            <w:sz w:val="22"/>
            <w:szCs w:val="22"/>
          </w:rPr>
          <w:tab/>
        </w:r>
        <w:r w:rsidR="00C36640" w:rsidRPr="00367AE6">
          <w:rPr>
            <w:rStyle w:val="Hipercze"/>
            <w:rFonts w:cs="Calibri Light"/>
            <w:noProof/>
          </w:rPr>
          <w:t>Informatyka</w:t>
        </w:r>
        <w:r w:rsidR="00C36640">
          <w:rPr>
            <w:noProof/>
            <w:webHidden/>
          </w:rPr>
          <w:tab/>
        </w:r>
        <w:r w:rsidR="00C36640">
          <w:rPr>
            <w:noProof/>
            <w:webHidden/>
          </w:rPr>
          <w:fldChar w:fldCharType="begin"/>
        </w:r>
        <w:r w:rsidR="00C36640">
          <w:rPr>
            <w:noProof/>
            <w:webHidden/>
          </w:rPr>
          <w:instrText xml:space="preserve"> PAGEREF _Toc116304535 \h </w:instrText>
        </w:r>
        <w:r w:rsidR="00C36640">
          <w:rPr>
            <w:noProof/>
            <w:webHidden/>
          </w:rPr>
        </w:r>
        <w:r w:rsidR="00C36640">
          <w:rPr>
            <w:noProof/>
            <w:webHidden/>
          </w:rPr>
          <w:fldChar w:fldCharType="separate"/>
        </w:r>
        <w:r w:rsidR="00CD5EA4">
          <w:rPr>
            <w:noProof/>
            <w:webHidden/>
          </w:rPr>
          <w:t>34</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6" w:history="1">
        <w:r w:rsidR="00C36640" w:rsidRPr="00367AE6">
          <w:rPr>
            <w:rStyle w:val="Hipercze"/>
            <w:rFonts w:cs="Calibri Light"/>
            <w:noProof/>
          </w:rPr>
          <w:t>7.</w:t>
        </w:r>
        <w:r w:rsidR="00C36640">
          <w:rPr>
            <w:rFonts w:asciiTheme="minorHAnsi" w:eastAsiaTheme="minorEastAsia" w:hAnsiTheme="minorHAnsi" w:cstheme="minorBidi"/>
            <w:noProof/>
            <w:sz w:val="22"/>
            <w:szCs w:val="22"/>
          </w:rPr>
          <w:tab/>
        </w:r>
        <w:r w:rsidR="00C36640" w:rsidRPr="00367AE6">
          <w:rPr>
            <w:rStyle w:val="Hipercze"/>
            <w:rFonts w:cs="Calibri Light"/>
            <w:noProof/>
          </w:rPr>
          <w:t>Bezpieczeństwo, ochrona danych i Plan Ciągłości Działania</w:t>
        </w:r>
        <w:r w:rsidR="00C36640">
          <w:rPr>
            <w:noProof/>
            <w:webHidden/>
          </w:rPr>
          <w:tab/>
        </w:r>
        <w:r w:rsidR="00C36640">
          <w:rPr>
            <w:noProof/>
            <w:webHidden/>
          </w:rPr>
          <w:fldChar w:fldCharType="begin"/>
        </w:r>
        <w:r w:rsidR="00C36640">
          <w:rPr>
            <w:noProof/>
            <w:webHidden/>
          </w:rPr>
          <w:instrText xml:space="preserve"> PAGEREF _Toc116304536 \h </w:instrText>
        </w:r>
        <w:r w:rsidR="00C36640">
          <w:rPr>
            <w:noProof/>
            <w:webHidden/>
          </w:rPr>
        </w:r>
        <w:r w:rsidR="00C36640">
          <w:rPr>
            <w:noProof/>
            <w:webHidden/>
          </w:rPr>
          <w:fldChar w:fldCharType="separate"/>
        </w:r>
        <w:r w:rsidR="00CD5EA4">
          <w:rPr>
            <w:noProof/>
            <w:webHidden/>
          </w:rPr>
          <w:t>35</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37" w:history="1">
        <w:r w:rsidR="00C36640" w:rsidRPr="00367AE6">
          <w:rPr>
            <w:rStyle w:val="Hipercze"/>
            <w:rFonts w:cs="Calibri Light"/>
            <w:noProof/>
          </w:rPr>
          <w:t>8.</w:t>
        </w:r>
        <w:r w:rsidR="00C36640">
          <w:rPr>
            <w:rFonts w:asciiTheme="minorHAnsi" w:eastAsiaTheme="minorEastAsia" w:hAnsiTheme="minorHAnsi" w:cstheme="minorBidi"/>
            <w:noProof/>
            <w:sz w:val="22"/>
            <w:szCs w:val="22"/>
          </w:rPr>
          <w:tab/>
        </w:r>
        <w:r w:rsidR="00C36640" w:rsidRPr="00367AE6">
          <w:rPr>
            <w:rStyle w:val="Hipercze"/>
            <w:rFonts w:cs="Calibri Light"/>
            <w:noProof/>
          </w:rPr>
          <w:t>Współpraca krajowa i międzynarodowa</w:t>
        </w:r>
        <w:r w:rsidR="00C36640">
          <w:rPr>
            <w:noProof/>
            <w:webHidden/>
          </w:rPr>
          <w:tab/>
        </w:r>
        <w:r w:rsidR="00C36640">
          <w:rPr>
            <w:noProof/>
            <w:webHidden/>
          </w:rPr>
          <w:fldChar w:fldCharType="begin"/>
        </w:r>
        <w:r w:rsidR="00C36640">
          <w:rPr>
            <w:noProof/>
            <w:webHidden/>
          </w:rPr>
          <w:instrText xml:space="preserve"> PAGEREF _Toc116304537 \h </w:instrText>
        </w:r>
        <w:r w:rsidR="00C36640">
          <w:rPr>
            <w:noProof/>
            <w:webHidden/>
          </w:rPr>
        </w:r>
        <w:r w:rsidR="00C36640">
          <w:rPr>
            <w:noProof/>
            <w:webHidden/>
          </w:rPr>
          <w:fldChar w:fldCharType="separate"/>
        </w:r>
        <w:r w:rsidR="00CD5EA4">
          <w:rPr>
            <w:noProof/>
            <w:webHidden/>
          </w:rPr>
          <w:t>36</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38" w:history="1">
        <w:r w:rsidR="00C36640" w:rsidRPr="00367AE6">
          <w:rPr>
            <w:rStyle w:val="Hipercze"/>
            <w:rFonts w:cs="Calibri Light"/>
            <w:noProof/>
          </w:rPr>
          <w:t>8.1.</w:t>
        </w:r>
        <w:r w:rsidR="00C36640">
          <w:rPr>
            <w:rFonts w:asciiTheme="minorHAnsi" w:eastAsiaTheme="minorEastAsia" w:hAnsiTheme="minorHAnsi" w:cstheme="minorBidi"/>
            <w:noProof/>
            <w:sz w:val="22"/>
            <w:szCs w:val="22"/>
          </w:rPr>
          <w:t xml:space="preserve"> </w:t>
        </w:r>
        <w:r w:rsidR="00C36640" w:rsidRPr="00367AE6">
          <w:rPr>
            <w:rStyle w:val="Hipercze"/>
            <w:rFonts w:cs="Calibri Light"/>
            <w:noProof/>
          </w:rPr>
          <w:t>Współpraca krajowa</w:t>
        </w:r>
        <w:r w:rsidR="00C36640">
          <w:rPr>
            <w:noProof/>
            <w:webHidden/>
          </w:rPr>
          <w:tab/>
        </w:r>
        <w:r w:rsidR="00C36640">
          <w:rPr>
            <w:noProof/>
            <w:webHidden/>
          </w:rPr>
          <w:fldChar w:fldCharType="begin"/>
        </w:r>
        <w:r w:rsidR="00C36640">
          <w:rPr>
            <w:noProof/>
            <w:webHidden/>
          </w:rPr>
          <w:instrText xml:space="preserve"> PAGEREF _Toc116304538 \h </w:instrText>
        </w:r>
        <w:r w:rsidR="00C36640">
          <w:rPr>
            <w:noProof/>
            <w:webHidden/>
          </w:rPr>
        </w:r>
        <w:r w:rsidR="00C36640">
          <w:rPr>
            <w:noProof/>
            <w:webHidden/>
          </w:rPr>
          <w:fldChar w:fldCharType="separate"/>
        </w:r>
        <w:r w:rsidR="00CD5EA4">
          <w:rPr>
            <w:noProof/>
            <w:webHidden/>
          </w:rPr>
          <w:t>36</w:t>
        </w:r>
        <w:r w:rsidR="00C36640">
          <w:rPr>
            <w:noProof/>
            <w:webHidden/>
          </w:rPr>
          <w:fldChar w:fldCharType="end"/>
        </w:r>
      </w:hyperlink>
    </w:p>
    <w:p w:rsidR="00C36640" w:rsidRDefault="00D81D5B">
      <w:pPr>
        <w:pStyle w:val="Spistreci3"/>
        <w:rPr>
          <w:rFonts w:asciiTheme="minorHAnsi" w:eastAsiaTheme="minorEastAsia" w:hAnsiTheme="minorHAnsi" w:cstheme="minorBidi"/>
          <w:noProof/>
          <w:sz w:val="22"/>
          <w:szCs w:val="22"/>
        </w:rPr>
      </w:pPr>
      <w:hyperlink w:anchor="_Toc116304539" w:history="1">
        <w:r w:rsidR="00C36640" w:rsidRPr="00367AE6">
          <w:rPr>
            <w:rStyle w:val="Hipercze"/>
            <w:rFonts w:cs="Calibri Light"/>
            <w:noProof/>
          </w:rPr>
          <w:t>8.2. Współpraca międzynarodowa</w:t>
        </w:r>
        <w:r w:rsidR="00C36640">
          <w:rPr>
            <w:noProof/>
            <w:webHidden/>
          </w:rPr>
          <w:tab/>
        </w:r>
        <w:r w:rsidR="00C36640">
          <w:rPr>
            <w:noProof/>
            <w:webHidden/>
          </w:rPr>
          <w:fldChar w:fldCharType="begin"/>
        </w:r>
        <w:r w:rsidR="00C36640">
          <w:rPr>
            <w:noProof/>
            <w:webHidden/>
          </w:rPr>
          <w:instrText xml:space="preserve"> PAGEREF _Toc116304539 \h </w:instrText>
        </w:r>
        <w:r w:rsidR="00C36640">
          <w:rPr>
            <w:noProof/>
            <w:webHidden/>
          </w:rPr>
        </w:r>
        <w:r w:rsidR="00C36640">
          <w:rPr>
            <w:noProof/>
            <w:webHidden/>
          </w:rPr>
          <w:fldChar w:fldCharType="separate"/>
        </w:r>
        <w:r w:rsidR="00CD5EA4">
          <w:rPr>
            <w:noProof/>
            <w:webHidden/>
          </w:rPr>
          <w:t>36</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40" w:history="1">
        <w:r w:rsidR="00C36640" w:rsidRPr="00367AE6">
          <w:rPr>
            <w:rStyle w:val="Hipercze"/>
            <w:rFonts w:cs="Calibri Light"/>
            <w:noProof/>
          </w:rPr>
          <w:t>9.</w:t>
        </w:r>
        <w:r w:rsidR="00C36640">
          <w:rPr>
            <w:rFonts w:asciiTheme="minorHAnsi" w:eastAsiaTheme="minorEastAsia" w:hAnsiTheme="minorHAnsi" w:cstheme="minorBidi"/>
            <w:noProof/>
            <w:sz w:val="22"/>
            <w:szCs w:val="22"/>
          </w:rPr>
          <w:tab/>
        </w:r>
        <w:r w:rsidR="00C36640" w:rsidRPr="00367AE6">
          <w:rPr>
            <w:rStyle w:val="Hipercze"/>
            <w:rFonts w:cs="Calibri Light"/>
            <w:noProof/>
          </w:rPr>
          <w:t>Polityka informacyjna</w:t>
        </w:r>
        <w:r w:rsidR="00C36640">
          <w:rPr>
            <w:noProof/>
            <w:webHidden/>
          </w:rPr>
          <w:tab/>
        </w:r>
        <w:r w:rsidR="00C36640">
          <w:rPr>
            <w:noProof/>
            <w:webHidden/>
          </w:rPr>
          <w:fldChar w:fldCharType="begin"/>
        </w:r>
        <w:r w:rsidR="00C36640">
          <w:rPr>
            <w:noProof/>
            <w:webHidden/>
          </w:rPr>
          <w:instrText xml:space="preserve"> PAGEREF _Toc116304540 \h </w:instrText>
        </w:r>
        <w:r w:rsidR="00C36640">
          <w:rPr>
            <w:noProof/>
            <w:webHidden/>
          </w:rPr>
        </w:r>
        <w:r w:rsidR="00C36640">
          <w:rPr>
            <w:noProof/>
            <w:webHidden/>
          </w:rPr>
          <w:fldChar w:fldCharType="separate"/>
        </w:r>
        <w:r w:rsidR="00CD5EA4">
          <w:rPr>
            <w:noProof/>
            <w:webHidden/>
          </w:rPr>
          <w:t>39</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41" w:history="1">
        <w:r w:rsidR="00C36640" w:rsidRPr="00367AE6">
          <w:rPr>
            <w:rStyle w:val="Hipercze"/>
            <w:rFonts w:cs="Calibri Light"/>
            <w:noProof/>
          </w:rPr>
          <w:t>10.</w:t>
        </w:r>
        <w:r w:rsidR="00C36640">
          <w:rPr>
            <w:rFonts w:asciiTheme="minorHAnsi" w:eastAsiaTheme="minorEastAsia" w:hAnsiTheme="minorHAnsi" w:cstheme="minorBidi"/>
            <w:noProof/>
            <w:sz w:val="22"/>
            <w:szCs w:val="22"/>
          </w:rPr>
          <w:tab/>
        </w:r>
        <w:r w:rsidR="00C36640" w:rsidRPr="00367AE6">
          <w:rPr>
            <w:rStyle w:val="Hipercze"/>
            <w:rFonts w:cs="Calibri Light"/>
            <w:noProof/>
          </w:rPr>
          <w:t>Zarządzanie zasobami ludzkimi</w:t>
        </w:r>
        <w:r w:rsidR="00C36640">
          <w:rPr>
            <w:noProof/>
            <w:webHidden/>
          </w:rPr>
          <w:tab/>
        </w:r>
        <w:r w:rsidR="00C36640">
          <w:rPr>
            <w:noProof/>
            <w:webHidden/>
          </w:rPr>
          <w:fldChar w:fldCharType="begin"/>
        </w:r>
        <w:r w:rsidR="00C36640">
          <w:rPr>
            <w:noProof/>
            <w:webHidden/>
          </w:rPr>
          <w:instrText xml:space="preserve"> PAGEREF _Toc116304541 \h </w:instrText>
        </w:r>
        <w:r w:rsidR="00C36640">
          <w:rPr>
            <w:noProof/>
            <w:webHidden/>
          </w:rPr>
        </w:r>
        <w:r w:rsidR="00C36640">
          <w:rPr>
            <w:noProof/>
            <w:webHidden/>
          </w:rPr>
          <w:fldChar w:fldCharType="separate"/>
        </w:r>
        <w:r w:rsidR="00CD5EA4">
          <w:rPr>
            <w:noProof/>
            <w:webHidden/>
          </w:rPr>
          <w:t>40</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42" w:history="1">
        <w:r w:rsidR="00C36640" w:rsidRPr="00367AE6">
          <w:rPr>
            <w:rStyle w:val="Hipercze"/>
            <w:rFonts w:cs="Calibri Light"/>
            <w:noProof/>
          </w:rPr>
          <w:t>11.</w:t>
        </w:r>
        <w:r w:rsidR="00C36640">
          <w:rPr>
            <w:rFonts w:asciiTheme="minorHAnsi" w:eastAsiaTheme="minorEastAsia" w:hAnsiTheme="minorHAnsi" w:cstheme="minorBidi"/>
            <w:noProof/>
            <w:sz w:val="22"/>
            <w:szCs w:val="22"/>
          </w:rPr>
          <w:tab/>
        </w:r>
        <w:r w:rsidR="00C36640" w:rsidRPr="00367AE6">
          <w:rPr>
            <w:rStyle w:val="Hipercze"/>
            <w:rFonts w:cs="Calibri Light"/>
            <w:noProof/>
          </w:rPr>
          <w:t>Administracja i zamówienia publiczne</w:t>
        </w:r>
        <w:r w:rsidR="00C36640">
          <w:rPr>
            <w:noProof/>
            <w:webHidden/>
          </w:rPr>
          <w:tab/>
        </w:r>
        <w:r w:rsidR="00C36640">
          <w:rPr>
            <w:noProof/>
            <w:webHidden/>
          </w:rPr>
          <w:fldChar w:fldCharType="begin"/>
        </w:r>
        <w:r w:rsidR="00C36640">
          <w:rPr>
            <w:noProof/>
            <w:webHidden/>
          </w:rPr>
          <w:instrText xml:space="preserve"> PAGEREF _Toc116304542 \h </w:instrText>
        </w:r>
        <w:r w:rsidR="00C36640">
          <w:rPr>
            <w:noProof/>
            <w:webHidden/>
          </w:rPr>
        </w:r>
        <w:r w:rsidR="00C36640">
          <w:rPr>
            <w:noProof/>
            <w:webHidden/>
          </w:rPr>
          <w:fldChar w:fldCharType="separate"/>
        </w:r>
        <w:r w:rsidR="00CD5EA4">
          <w:rPr>
            <w:noProof/>
            <w:webHidden/>
          </w:rPr>
          <w:t>41</w:t>
        </w:r>
        <w:r w:rsidR="00C36640">
          <w:rPr>
            <w:noProof/>
            <w:webHidden/>
          </w:rPr>
          <w:fldChar w:fldCharType="end"/>
        </w:r>
      </w:hyperlink>
    </w:p>
    <w:p w:rsidR="00C36640" w:rsidRDefault="00D81D5B">
      <w:pPr>
        <w:pStyle w:val="Spistreci3"/>
        <w:tabs>
          <w:tab w:val="left" w:pos="1760"/>
        </w:tabs>
        <w:rPr>
          <w:rFonts w:asciiTheme="minorHAnsi" w:eastAsiaTheme="minorEastAsia" w:hAnsiTheme="minorHAnsi" w:cstheme="minorBidi"/>
          <w:noProof/>
          <w:sz w:val="22"/>
          <w:szCs w:val="22"/>
        </w:rPr>
      </w:pPr>
      <w:hyperlink w:anchor="_Toc116304543" w:history="1">
        <w:r w:rsidR="00C36640" w:rsidRPr="00367AE6">
          <w:rPr>
            <w:rStyle w:val="Hipercze"/>
            <w:noProof/>
          </w:rPr>
          <w:t>11.1.</w:t>
        </w:r>
        <w:r w:rsidR="00C36640">
          <w:rPr>
            <w:rFonts w:asciiTheme="minorHAnsi" w:eastAsiaTheme="minorEastAsia" w:hAnsiTheme="minorHAnsi" w:cstheme="minorBidi"/>
            <w:noProof/>
            <w:sz w:val="22"/>
            <w:szCs w:val="22"/>
          </w:rPr>
          <w:t xml:space="preserve"> </w:t>
        </w:r>
        <w:r w:rsidR="00C36640" w:rsidRPr="00367AE6">
          <w:rPr>
            <w:rStyle w:val="Hipercze"/>
            <w:noProof/>
          </w:rPr>
          <w:t>Administracja</w:t>
        </w:r>
        <w:r w:rsidR="00C36640">
          <w:rPr>
            <w:noProof/>
            <w:webHidden/>
          </w:rPr>
          <w:tab/>
        </w:r>
        <w:r w:rsidR="00C36640">
          <w:rPr>
            <w:noProof/>
            <w:webHidden/>
          </w:rPr>
          <w:fldChar w:fldCharType="begin"/>
        </w:r>
        <w:r w:rsidR="00C36640">
          <w:rPr>
            <w:noProof/>
            <w:webHidden/>
          </w:rPr>
          <w:instrText xml:space="preserve"> PAGEREF _Toc116304543 \h </w:instrText>
        </w:r>
        <w:r w:rsidR="00C36640">
          <w:rPr>
            <w:noProof/>
            <w:webHidden/>
          </w:rPr>
        </w:r>
        <w:r w:rsidR="00C36640">
          <w:rPr>
            <w:noProof/>
            <w:webHidden/>
          </w:rPr>
          <w:fldChar w:fldCharType="separate"/>
        </w:r>
        <w:r w:rsidR="00CD5EA4">
          <w:rPr>
            <w:noProof/>
            <w:webHidden/>
          </w:rPr>
          <w:t>41</w:t>
        </w:r>
        <w:r w:rsidR="00C36640">
          <w:rPr>
            <w:noProof/>
            <w:webHidden/>
          </w:rPr>
          <w:fldChar w:fldCharType="end"/>
        </w:r>
      </w:hyperlink>
    </w:p>
    <w:p w:rsidR="00C36640" w:rsidRDefault="00D81D5B">
      <w:pPr>
        <w:pStyle w:val="Spistreci3"/>
        <w:tabs>
          <w:tab w:val="left" w:pos="1760"/>
        </w:tabs>
        <w:rPr>
          <w:rFonts w:asciiTheme="minorHAnsi" w:eastAsiaTheme="minorEastAsia" w:hAnsiTheme="minorHAnsi" w:cstheme="minorBidi"/>
          <w:noProof/>
          <w:sz w:val="22"/>
          <w:szCs w:val="22"/>
        </w:rPr>
      </w:pPr>
      <w:hyperlink w:anchor="_Toc116304544" w:history="1">
        <w:r w:rsidR="00C36640" w:rsidRPr="00367AE6">
          <w:rPr>
            <w:rStyle w:val="Hipercze"/>
            <w:noProof/>
          </w:rPr>
          <w:t>11.2.</w:t>
        </w:r>
        <w:r w:rsidR="00C63EAC">
          <w:rPr>
            <w:rFonts w:asciiTheme="minorHAnsi" w:eastAsiaTheme="minorEastAsia" w:hAnsiTheme="minorHAnsi" w:cstheme="minorBidi"/>
            <w:noProof/>
            <w:sz w:val="22"/>
            <w:szCs w:val="22"/>
          </w:rPr>
          <w:t xml:space="preserve"> </w:t>
        </w:r>
        <w:r w:rsidR="00C36640" w:rsidRPr="00367AE6">
          <w:rPr>
            <w:rStyle w:val="Hipercze"/>
            <w:noProof/>
          </w:rPr>
          <w:t>Zamówienia publiczne</w:t>
        </w:r>
        <w:r w:rsidR="00C36640">
          <w:rPr>
            <w:noProof/>
            <w:webHidden/>
          </w:rPr>
          <w:tab/>
        </w:r>
        <w:r w:rsidR="00C36640">
          <w:rPr>
            <w:noProof/>
            <w:webHidden/>
          </w:rPr>
          <w:fldChar w:fldCharType="begin"/>
        </w:r>
        <w:r w:rsidR="00C36640">
          <w:rPr>
            <w:noProof/>
            <w:webHidden/>
          </w:rPr>
          <w:instrText xml:space="preserve"> PAGEREF _Toc116304544 \h </w:instrText>
        </w:r>
        <w:r w:rsidR="00C36640">
          <w:rPr>
            <w:noProof/>
            <w:webHidden/>
          </w:rPr>
        </w:r>
        <w:r w:rsidR="00C36640">
          <w:rPr>
            <w:noProof/>
            <w:webHidden/>
          </w:rPr>
          <w:fldChar w:fldCharType="separate"/>
        </w:r>
        <w:r w:rsidR="00CD5EA4">
          <w:rPr>
            <w:noProof/>
            <w:webHidden/>
          </w:rPr>
          <w:t>41</w:t>
        </w:r>
        <w:r w:rsidR="00C36640">
          <w:rPr>
            <w:noProof/>
            <w:webHidden/>
          </w:rPr>
          <w:fldChar w:fldCharType="end"/>
        </w:r>
      </w:hyperlink>
    </w:p>
    <w:p w:rsidR="00C36640" w:rsidRDefault="00D81D5B" w:rsidP="00CD5EA4">
      <w:pPr>
        <w:pStyle w:val="Spistreci2"/>
        <w:rPr>
          <w:rFonts w:asciiTheme="minorHAnsi" w:eastAsiaTheme="minorEastAsia" w:hAnsiTheme="minorHAnsi" w:cstheme="minorBidi"/>
          <w:noProof/>
          <w:sz w:val="22"/>
          <w:szCs w:val="22"/>
        </w:rPr>
      </w:pPr>
      <w:hyperlink w:anchor="_Toc116304545" w:history="1">
        <w:r w:rsidR="00C36640" w:rsidRPr="00367AE6">
          <w:rPr>
            <w:rStyle w:val="Hipercze"/>
            <w:rFonts w:cs="Calibri Light"/>
            <w:noProof/>
          </w:rPr>
          <w:t>14.</w:t>
        </w:r>
        <w:r w:rsidR="00C36640">
          <w:rPr>
            <w:rFonts w:asciiTheme="minorHAnsi" w:eastAsiaTheme="minorEastAsia" w:hAnsiTheme="minorHAnsi" w:cstheme="minorBidi"/>
            <w:noProof/>
            <w:sz w:val="22"/>
            <w:szCs w:val="22"/>
          </w:rPr>
          <w:tab/>
        </w:r>
        <w:r w:rsidR="00C36640" w:rsidRPr="00367AE6">
          <w:rPr>
            <w:rStyle w:val="Hipercze"/>
            <w:rFonts w:cs="Calibri Light"/>
            <w:noProof/>
          </w:rPr>
          <w:t>Sporne postępowania sądowe</w:t>
        </w:r>
        <w:r w:rsidR="00C36640">
          <w:rPr>
            <w:noProof/>
            <w:webHidden/>
          </w:rPr>
          <w:tab/>
        </w:r>
        <w:r w:rsidR="00C36640">
          <w:rPr>
            <w:noProof/>
            <w:webHidden/>
          </w:rPr>
          <w:fldChar w:fldCharType="begin"/>
        </w:r>
        <w:r w:rsidR="00C36640">
          <w:rPr>
            <w:noProof/>
            <w:webHidden/>
          </w:rPr>
          <w:instrText xml:space="preserve"> PAGEREF _Toc116304545 \h </w:instrText>
        </w:r>
        <w:r w:rsidR="00C36640">
          <w:rPr>
            <w:noProof/>
            <w:webHidden/>
          </w:rPr>
        </w:r>
        <w:r w:rsidR="00C36640">
          <w:rPr>
            <w:noProof/>
            <w:webHidden/>
          </w:rPr>
          <w:fldChar w:fldCharType="separate"/>
        </w:r>
        <w:r w:rsidR="00CD5EA4">
          <w:rPr>
            <w:noProof/>
            <w:webHidden/>
          </w:rPr>
          <w:t>46</w:t>
        </w:r>
        <w:r w:rsidR="00C36640">
          <w:rPr>
            <w:noProof/>
            <w:webHidden/>
          </w:rPr>
          <w:fldChar w:fldCharType="end"/>
        </w:r>
      </w:hyperlink>
    </w:p>
    <w:p w:rsidR="00F76AF7" w:rsidRPr="00DF679D" w:rsidRDefault="00E0223C" w:rsidP="003772FB">
      <w:pPr>
        <w:tabs>
          <w:tab w:val="right" w:leader="dot" w:pos="8931"/>
        </w:tabs>
        <w:rPr>
          <w:rFonts w:cs="Calibri Light"/>
          <w:b/>
          <w:bCs/>
        </w:rPr>
      </w:pPr>
      <w:r w:rsidRPr="00DF679D">
        <w:rPr>
          <w:rFonts w:cs="Calibri Light"/>
          <w:b/>
          <w:bCs/>
        </w:rPr>
        <w:fldChar w:fldCharType="end"/>
      </w:r>
      <w:bookmarkEnd w:id="1"/>
    </w:p>
    <w:p w:rsidR="00F76AF7" w:rsidRPr="00DF679D" w:rsidRDefault="00F76AF7">
      <w:pPr>
        <w:spacing w:after="0"/>
        <w:ind w:firstLine="0"/>
        <w:jc w:val="left"/>
        <w:rPr>
          <w:rFonts w:cs="Calibri Light"/>
          <w:b/>
          <w:bCs/>
        </w:rPr>
      </w:pPr>
      <w:r w:rsidRPr="00DF679D">
        <w:rPr>
          <w:rFonts w:cs="Calibri Light"/>
          <w:b/>
          <w:bCs/>
        </w:rPr>
        <w:br w:type="page"/>
      </w:r>
    </w:p>
    <w:p w:rsidR="00CB1F61" w:rsidRPr="00DF679D" w:rsidRDefault="00CB1F61" w:rsidP="00FE1896">
      <w:pPr>
        <w:pStyle w:val="Nagwek1"/>
        <w:rPr>
          <w:rFonts w:cs="Calibri Light"/>
          <w:b w:val="0"/>
          <w:szCs w:val="32"/>
        </w:rPr>
      </w:pPr>
      <w:bookmarkStart w:id="2" w:name="_Toc496093331"/>
      <w:bookmarkStart w:id="3" w:name="_Toc116304505"/>
      <w:r w:rsidRPr="00DF679D">
        <w:rPr>
          <w:rFonts w:cs="Calibri Light"/>
          <w:b w:val="0"/>
          <w:szCs w:val="32"/>
        </w:rPr>
        <w:t>Słownik najważniejszych skrótów</w:t>
      </w:r>
      <w:bookmarkEnd w:id="2"/>
      <w:bookmarkEnd w:id="3"/>
    </w:p>
    <w:tbl>
      <w:tblPr>
        <w:tblW w:w="0" w:type="auto"/>
        <w:tblLook w:val="04A0" w:firstRow="1" w:lastRow="0" w:firstColumn="1" w:lastColumn="0" w:noHBand="0" w:noVBand="1"/>
      </w:tblPr>
      <w:tblGrid>
        <w:gridCol w:w="2410"/>
        <w:gridCol w:w="6803"/>
      </w:tblGrid>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BFG, Fundusz</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Bankowy Fundusz Gwarancyjny</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BS</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Bank Spółdzielczy</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Dyrektywa BRR, BRRD</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Dyrektywa Parlamentu Europejskiego i Rady 2014/59/UE z dnia 15 maja 2014 r. ustanawiająca ramy na potrzeby prowadzenia działań naprawczych oraz restrukturyzacji i uporządkowanej likwidacji w odniesieniu do instytucji kredytowych i firm inwestycyjnych oraz zmieniająca dyrektywę Rady 82/891/EWG i dyrektywy Parlamentu Europejskiego i Rady 2001/24/WE, 2002/47/WE, 2004/25/WE, 2005/56/WE, 2007/36/WE, 2011/35/UE, 2012/30/UE i 2013/36/EU oraz rozporządzenia Parlamentu Europejskiego i Rady (UE) nr 1093/2010 i (UE) nr 648/2012 (Dz. Urz. UE L z dnia 12 czerwca 2014 r. z późn. zm.)</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BRRD2</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Dyrektywa Parlamentu Europejskiego i Rady (UE) 2019/879 z dnia 20 maja 2019 r. zmieniająca dyrektywę 2014/59/UE w odniesieniu do zdolności do pokrycia strat i dokapitalizowania instytucji kredytowych i firm inwestycyjnych oraz dyrektywę 98/26/WE (Dz. Urz. UE L z dnia 7 czerwca 2019 r.)</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DGS</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 xml:space="preserve">Deposit Guarantee Scheme (System Gwarancji Depozytów) </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EFDI</w:t>
            </w:r>
          </w:p>
        </w:tc>
        <w:tc>
          <w:tcPr>
            <w:tcW w:w="6803" w:type="dxa"/>
          </w:tcPr>
          <w:p w:rsidR="00C24561" w:rsidRPr="00DF679D" w:rsidRDefault="00C24561" w:rsidP="002765AF">
            <w:pPr>
              <w:spacing w:after="0"/>
              <w:ind w:firstLine="0"/>
              <w:rPr>
                <w:rFonts w:cs="Calibri Light"/>
                <w:sz w:val="22"/>
              </w:rPr>
            </w:pPr>
            <w:r w:rsidRPr="00DF679D">
              <w:rPr>
                <w:rFonts w:cs="Calibri Light"/>
                <w:sz w:val="22"/>
              </w:rPr>
              <w:t xml:space="preserve">European Forum of Deposit Insurers (Europejskie Forum </w:t>
            </w:r>
            <w:r w:rsidR="002765AF">
              <w:rPr>
                <w:rFonts w:cs="Calibri Light"/>
                <w:sz w:val="22"/>
              </w:rPr>
              <w:t>Gwarantów</w:t>
            </w:r>
            <w:r w:rsidRPr="00DF679D">
              <w:rPr>
                <w:rFonts w:cs="Calibri Light"/>
                <w:sz w:val="22"/>
              </w:rPr>
              <w:t xml:space="preserve"> Depozytów)</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EUNB, EBA</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Europejski Urząd Nadzoru Bankowego</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IADI</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International Association of Deposit Insurers (Międzynarodowe Stowarzyszenie Gwarantów Depozytów)</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KNF, UKNF</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Komisja Nadzoru Finansowego, Urząd Komisji Nadzoru Finansowego</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MF</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Ministerstwo Finansów</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MREL</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Minimum requirement for own funds and eligible liabilities (minimalny wymóg w zakresie funduszy własnych i zobowiązań kwalifikowalnych)</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NBP</w:t>
            </w:r>
          </w:p>
          <w:p w:rsidR="00C24561" w:rsidRPr="00DF679D" w:rsidRDefault="00C24561" w:rsidP="00C24561">
            <w:pPr>
              <w:spacing w:after="0"/>
              <w:ind w:firstLine="0"/>
              <w:rPr>
                <w:rFonts w:cs="Calibri Light"/>
                <w:b/>
                <w:sz w:val="22"/>
              </w:rPr>
            </w:pPr>
            <w:r w:rsidRPr="00DF679D">
              <w:rPr>
                <w:rFonts w:cs="Calibri Light"/>
                <w:b/>
                <w:sz w:val="22"/>
              </w:rPr>
              <w:t>PBS, PBS w Sanoku</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Narodowy Bank Polski</w:t>
            </w:r>
          </w:p>
          <w:p w:rsidR="00C24561" w:rsidRPr="00DF679D" w:rsidRDefault="00C24561" w:rsidP="00C24561">
            <w:pPr>
              <w:spacing w:after="0"/>
              <w:ind w:firstLine="0"/>
              <w:rPr>
                <w:rFonts w:cs="Calibri Light"/>
                <w:sz w:val="22"/>
              </w:rPr>
            </w:pPr>
            <w:r w:rsidRPr="00DF679D">
              <w:rPr>
                <w:rFonts w:cs="Calibri Light"/>
                <w:sz w:val="22"/>
              </w:rPr>
              <w:t xml:space="preserve">Podkarpacki Bank Spółdzielczy </w:t>
            </w:r>
            <w:r w:rsidR="002765AF">
              <w:rPr>
                <w:rFonts w:cs="Calibri Light"/>
                <w:sz w:val="22"/>
              </w:rPr>
              <w:t xml:space="preserve">z siedzibą </w:t>
            </w:r>
            <w:r w:rsidRPr="00DF679D">
              <w:rPr>
                <w:rFonts w:cs="Calibri Light"/>
                <w:sz w:val="22"/>
              </w:rPr>
              <w:t>w Sanoku</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Rada, Rada BFG, Rada Funduszu</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Rada Bankowego Funduszu Gwarancyjnego</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Rozporządzenie CRR</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Rozporządzenie Parlamentu Europejskiego i Rady (UE) nr 575/2013 z dnia 26 czerwca 2013 r. w sprawie wymogów ostrożnościowych dla instytucji kredytowych i firm inwestycyjnych, zmieniające rozporządzenie (UE) nr 648/2012 (Dz. Urz. UE L z dnia 27 czerwca 2013 r. z późn. zm.)</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SBRiR w Wołominie</w:t>
            </w:r>
          </w:p>
        </w:tc>
        <w:tc>
          <w:tcPr>
            <w:tcW w:w="6803" w:type="dxa"/>
          </w:tcPr>
          <w:p w:rsidR="00C24561" w:rsidRPr="00DF679D" w:rsidRDefault="00C24561" w:rsidP="00A0295A">
            <w:pPr>
              <w:spacing w:after="0"/>
              <w:ind w:firstLine="0"/>
              <w:rPr>
                <w:rFonts w:cs="Calibri Light"/>
                <w:sz w:val="22"/>
              </w:rPr>
            </w:pPr>
            <w:r w:rsidRPr="00DF679D">
              <w:rPr>
                <w:rFonts w:cs="Calibri Light"/>
                <w:sz w:val="22"/>
              </w:rPr>
              <w:t>Spółdzielczy Bank Rzemiosła i Rolnictwa w Wołominie</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SKOK, Kasa</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Spółdzielcza Kasa Oszczędnościowo-Kredytowa</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SRB</w:t>
            </w:r>
          </w:p>
        </w:tc>
        <w:tc>
          <w:tcPr>
            <w:tcW w:w="6803" w:type="dxa"/>
          </w:tcPr>
          <w:p w:rsidR="00C24561" w:rsidRPr="00DF679D" w:rsidRDefault="00C24561" w:rsidP="00C24561">
            <w:pPr>
              <w:spacing w:after="0"/>
              <w:ind w:firstLine="0"/>
              <w:rPr>
                <w:rFonts w:cs="Calibri Light"/>
                <w:sz w:val="22"/>
              </w:rPr>
            </w:pPr>
            <w:r w:rsidRPr="00DF679D">
              <w:rPr>
                <w:rFonts w:cs="Calibri Light"/>
                <w:sz w:val="22"/>
                <w:lang w:val="en-US"/>
              </w:rPr>
              <w:t xml:space="preserve">Single Resolution Board (Jednolita Rada ds. </w:t>
            </w:r>
            <w:r w:rsidRPr="00DF679D">
              <w:rPr>
                <w:rFonts w:cs="Calibri Light"/>
                <w:sz w:val="22"/>
              </w:rPr>
              <w:t>Restrukturyzacji i Uporządkowanej Likwidacji)</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TLAC</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Total Loss-Absorbing Capacity (całkowita zdolność absorpcji strat)</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UE</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Unia Europejska</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umowa GPS</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umowa gwarancji pokrycia strat</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ustawa o BFG</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ustawa z dnia 10 czerwca 2016 r. o Bankowym Funduszu Gwarancyjnym, systemie gwarantowania depozytów oraz przymusowej restrukturyzacji (</w:t>
            </w:r>
            <w:r w:rsidR="00D251F7" w:rsidRPr="00DF679D">
              <w:rPr>
                <w:rFonts w:cs="Calibri Light"/>
                <w:sz w:val="22"/>
              </w:rPr>
              <w:t>Dz. U. z 2022 poz. 793, z późn. zm.)</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ustawa o zmianie ustawy o BFG</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ustawa z dnia 8 lipca 2021 r. o zmianie ustawy o Bankowym Funduszu Gwarancyjnym, systemie gwarantowania depozytów oraz przymusowej restrukturyzacji oraz niektórych innych ustaw (Dz.U. z 2021 r. poz. 1598)</w:t>
            </w:r>
          </w:p>
        </w:tc>
      </w:tr>
      <w:tr w:rsidR="00C24561" w:rsidRPr="00DF679D" w:rsidTr="00C24561">
        <w:tc>
          <w:tcPr>
            <w:tcW w:w="2410" w:type="dxa"/>
          </w:tcPr>
          <w:p w:rsidR="00C24561" w:rsidRPr="00DF679D" w:rsidRDefault="00C24561" w:rsidP="00C24561">
            <w:pPr>
              <w:spacing w:after="0"/>
              <w:ind w:firstLine="0"/>
              <w:rPr>
                <w:rFonts w:cs="Calibri Light"/>
                <w:b/>
                <w:sz w:val="22"/>
              </w:rPr>
            </w:pPr>
            <w:r w:rsidRPr="00DF679D">
              <w:rPr>
                <w:rFonts w:cs="Calibri Light"/>
                <w:b/>
                <w:sz w:val="22"/>
              </w:rPr>
              <w:t>ustawa Pzp</w:t>
            </w:r>
          </w:p>
        </w:tc>
        <w:tc>
          <w:tcPr>
            <w:tcW w:w="6803" w:type="dxa"/>
          </w:tcPr>
          <w:p w:rsidR="00C24561" w:rsidRPr="00DF679D" w:rsidRDefault="00C24561" w:rsidP="002765AF">
            <w:pPr>
              <w:spacing w:after="0"/>
              <w:ind w:firstLine="0"/>
              <w:rPr>
                <w:rFonts w:cs="Calibri Light"/>
                <w:sz w:val="22"/>
              </w:rPr>
            </w:pPr>
            <w:r w:rsidRPr="00DF679D">
              <w:rPr>
                <w:rFonts w:cs="Calibri Light"/>
                <w:sz w:val="22"/>
              </w:rPr>
              <w:t>ustawa z dnia 11 września 2019 r. – Prawo zamówień publicznych (Dz. U. z 2021 r. poz. 1129</w:t>
            </w:r>
            <w:r w:rsidR="002765AF">
              <w:rPr>
                <w:rFonts w:cs="Calibri Light"/>
                <w:sz w:val="22"/>
              </w:rPr>
              <w:t>,</w:t>
            </w:r>
            <w:r w:rsidRPr="00DF679D">
              <w:rPr>
                <w:rFonts w:cs="Calibri Light"/>
                <w:sz w:val="22"/>
              </w:rPr>
              <w:t xml:space="preserve"> z późn. zm.) </w:t>
            </w:r>
          </w:p>
        </w:tc>
      </w:tr>
      <w:tr w:rsidR="00C24561" w:rsidRPr="00DF679D" w:rsidTr="00C24561">
        <w:tc>
          <w:tcPr>
            <w:tcW w:w="2410" w:type="dxa"/>
          </w:tcPr>
          <w:p w:rsidR="00C24561" w:rsidRPr="00DF679D" w:rsidRDefault="00C24561" w:rsidP="00C24561">
            <w:pPr>
              <w:tabs>
                <w:tab w:val="left" w:pos="910"/>
                <w:tab w:val="left" w:pos="1084"/>
              </w:tabs>
              <w:spacing w:after="0"/>
              <w:ind w:right="315" w:firstLine="0"/>
              <w:jc w:val="left"/>
              <w:rPr>
                <w:rFonts w:cs="Calibri Light"/>
                <w:b/>
                <w:sz w:val="22"/>
              </w:rPr>
            </w:pPr>
            <w:bookmarkStart w:id="4" w:name="_Toc503452406"/>
            <w:bookmarkStart w:id="5" w:name="_Toc439757344"/>
            <w:bookmarkStart w:id="6" w:name="_Toc447631402"/>
            <w:bookmarkStart w:id="7" w:name="_Toc471991737"/>
            <w:bookmarkStart w:id="8" w:name="_Toc474326068"/>
            <w:bookmarkStart w:id="9" w:name="_Toc503452412"/>
            <w:bookmarkStart w:id="10" w:name="_Toc467678750"/>
            <w:r w:rsidRPr="00DF679D">
              <w:rPr>
                <w:rFonts w:cs="Calibri Light"/>
                <w:b/>
                <w:sz w:val="22"/>
              </w:rPr>
              <w:t>Zarząd, Zarząd BFG, Zarząd Funduszu</w:t>
            </w:r>
          </w:p>
          <w:p w:rsidR="00C24561" w:rsidRPr="00DF679D" w:rsidRDefault="00C24561" w:rsidP="00C24561">
            <w:pPr>
              <w:spacing w:after="0"/>
              <w:ind w:firstLine="0"/>
              <w:rPr>
                <w:rFonts w:cs="Calibri Light"/>
                <w:sz w:val="22"/>
              </w:rPr>
            </w:pPr>
            <w:r w:rsidRPr="00DF679D">
              <w:rPr>
                <w:rFonts w:cs="Calibri Light"/>
                <w:b/>
                <w:sz w:val="22"/>
              </w:rPr>
              <w:t>ZBP</w:t>
            </w:r>
          </w:p>
        </w:tc>
        <w:tc>
          <w:tcPr>
            <w:tcW w:w="6803" w:type="dxa"/>
          </w:tcPr>
          <w:p w:rsidR="00C24561" w:rsidRPr="00DF679D" w:rsidRDefault="00C24561" w:rsidP="00C24561">
            <w:pPr>
              <w:spacing w:after="0"/>
              <w:ind w:firstLine="0"/>
              <w:rPr>
                <w:rFonts w:cs="Calibri Light"/>
                <w:sz w:val="22"/>
              </w:rPr>
            </w:pPr>
            <w:r w:rsidRPr="00DF679D">
              <w:rPr>
                <w:rFonts w:cs="Calibri Light"/>
                <w:sz w:val="22"/>
              </w:rPr>
              <w:t>Zarząd Bankowego Funduszu Gwarancyjnego</w:t>
            </w:r>
            <w:r w:rsidRPr="00DF679D" w:rsidDel="00CE41D0">
              <w:rPr>
                <w:rFonts w:cs="Calibri Light"/>
                <w:sz w:val="22"/>
              </w:rPr>
              <w:t xml:space="preserve"> </w:t>
            </w:r>
          </w:p>
          <w:p w:rsidR="00C24561" w:rsidRPr="00DF679D" w:rsidRDefault="00C24561" w:rsidP="00C24561">
            <w:pPr>
              <w:spacing w:after="0"/>
              <w:ind w:firstLine="0"/>
              <w:rPr>
                <w:rFonts w:cs="Calibri Light"/>
                <w:sz w:val="22"/>
              </w:rPr>
            </w:pPr>
          </w:p>
          <w:p w:rsidR="00C24561" w:rsidRPr="00DF679D" w:rsidRDefault="00C24561" w:rsidP="00C24561">
            <w:pPr>
              <w:spacing w:after="0"/>
              <w:ind w:firstLine="0"/>
              <w:rPr>
                <w:rFonts w:cs="Calibri Light"/>
                <w:sz w:val="22"/>
              </w:rPr>
            </w:pPr>
            <w:r w:rsidRPr="00DF679D">
              <w:rPr>
                <w:rFonts w:cs="Calibri Light"/>
                <w:sz w:val="22"/>
              </w:rPr>
              <w:t>Związek Banków Polskich</w:t>
            </w:r>
          </w:p>
        </w:tc>
      </w:tr>
    </w:tbl>
    <w:p w:rsidR="00C24561" w:rsidRPr="00DF679D" w:rsidRDefault="00C24561" w:rsidP="00C24561">
      <w:pPr>
        <w:rPr>
          <w:rFonts w:cs="Calibri Light"/>
        </w:rPr>
      </w:pPr>
    </w:p>
    <w:p w:rsidR="00110953" w:rsidRPr="00DF679D" w:rsidRDefault="00110953">
      <w:pPr>
        <w:spacing w:after="0"/>
        <w:ind w:firstLine="0"/>
        <w:jc w:val="left"/>
        <w:rPr>
          <w:rFonts w:cs="Calibri Light"/>
        </w:rPr>
      </w:pPr>
      <w:r w:rsidRPr="00DF679D">
        <w:rPr>
          <w:rFonts w:cs="Calibri Light"/>
        </w:rPr>
        <w:br w:type="page"/>
      </w:r>
    </w:p>
    <w:p w:rsidR="00FD1099" w:rsidRPr="00DF679D" w:rsidRDefault="00C24561" w:rsidP="0076523D">
      <w:pPr>
        <w:pStyle w:val="Nagwek1"/>
        <w:spacing w:after="0"/>
        <w:rPr>
          <w:rFonts w:cs="Calibri Light"/>
        </w:rPr>
      </w:pPr>
      <w:bookmarkStart w:id="11" w:name="_Toc116304506"/>
      <w:bookmarkEnd w:id="4"/>
      <w:bookmarkEnd w:id="5"/>
      <w:bookmarkEnd w:id="6"/>
      <w:bookmarkEnd w:id="7"/>
      <w:bookmarkEnd w:id="8"/>
      <w:bookmarkEnd w:id="9"/>
      <w:bookmarkEnd w:id="10"/>
      <w:r w:rsidRPr="00DF679D">
        <w:rPr>
          <w:rFonts w:cs="Calibri Light"/>
        </w:rPr>
        <w:t>Wstęp</w:t>
      </w:r>
      <w:bookmarkEnd w:id="11"/>
    </w:p>
    <w:p w:rsidR="00FD1099" w:rsidRPr="00DF679D" w:rsidRDefault="00FD1099" w:rsidP="0076523D">
      <w:pPr>
        <w:spacing w:after="0"/>
        <w:rPr>
          <w:rFonts w:cs="Calibri Light"/>
        </w:rPr>
      </w:pPr>
    </w:p>
    <w:p w:rsidR="00AB34FE" w:rsidRPr="001300A8" w:rsidRDefault="00AB34FE" w:rsidP="009028B0">
      <w:pPr>
        <w:spacing w:after="120"/>
        <w:rPr>
          <w:rFonts w:cs="Calibri Light"/>
          <w:sz w:val="22"/>
          <w:szCs w:val="22"/>
        </w:rPr>
      </w:pPr>
      <w:r w:rsidRPr="001300A8">
        <w:rPr>
          <w:rFonts w:cs="Calibri Light"/>
          <w:sz w:val="22"/>
          <w:szCs w:val="22"/>
        </w:rPr>
        <w:t>W III kwartale 2022 r. Bankowy Fundusz Gwarancyjny realizował zadania statutowe koncentrując się na działaniach związanych z różnymi aspektami pełnienia funkcji organu do spraw przymusowej restrukturyzacji oraz wypłacie środków gwarantowanych.</w:t>
      </w:r>
    </w:p>
    <w:p w:rsidR="00AB34FE" w:rsidRPr="001300A8" w:rsidRDefault="00AB34FE" w:rsidP="009028B0">
      <w:pPr>
        <w:autoSpaceDE w:val="0"/>
        <w:autoSpaceDN w:val="0"/>
        <w:adjustRightInd w:val="0"/>
        <w:spacing w:after="120"/>
        <w:rPr>
          <w:rFonts w:cs="Calibri Light"/>
          <w:sz w:val="22"/>
          <w:szCs w:val="22"/>
        </w:rPr>
      </w:pPr>
      <w:r w:rsidRPr="001300A8">
        <w:rPr>
          <w:rFonts w:cs="Calibri Light"/>
          <w:sz w:val="22"/>
          <w:szCs w:val="22"/>
        </w:rPr>
        <w:t xml:space="preserve">1 lipca 2022 r. w skład Rady </w:t>
      </w:r>
      <w:r w:rsidR="009028B0">
        <w:rPr>
          <w:rFonts w:cs="Calibri Light"/>
          <w:sz w:val="22"/>
          <w:szCs w:val="22"/>
        </w:rPr>
        <w:t xml:space="preserve">BFG </w:t>
      </w:r>
      <w:r w:rsidRPr="001300A8">
        <w:rPr>
          <w:rFonts w:cs="Calibri Light"/>
          <w:sz w:val="22"/>
          <w:szCs w:val="22"/>
        </w:rPr>
        <w:t>wchodziły następujące osoby: Przewodniczący Rady Mateusz Berger (MF); Członkowie Rady: Patryk Łoszewski (MF), Marcin Martyniak (MF), Jacek Jastrzębski (KNF), Olga Szczepańska (NBP), Witold Grostal (NBP). Natomiast Zarząd pracował w składzie: Prezes Zarządu Piotr Tomaszewski, Zastępca Prezesa Zarządu Sławomir Stawczyk, Członek Zarządu Tomasz Obal, Członek Zarządu Dagmara Wieczorek-Bartczak.</w:t>
      </w:r>
    </w:p>
    <w:p w:rsidR="00AB34FE" w:rsidRPr="001300A8" w:rsidRDefault="00AB34FE" w:rsidP="009028B0">
      <w:pPr>
        <w:autoSpaceDE w:val="0"/>
        <w:autoSpaceDN w:val="0"/>
        <w:adjustRightInd w:val="0"/>
        <w:spacing w:after="120"/>
        <w:rPr>
          <w:rFonts w:cs="Calibri Light"/>
          <w:b/>
          <w:sz w:val="22"/>
          <w:szCs w:val="22"/>
        </w:rPr>
      </w:pPr>
      <w:r>
        <w:rPr>
          <w:rFonts w:cs="Calibri Light"/>
          <w:sz w:val="22"/>
          <w:szCs w:val="22"/>
        </w:rPr>
        <w:t>W lipcu 2022 r.</w:t>
      </w:r>
      <w:r w:rsidRPr="001300A8">
        <w:rPr>
          <w:rFonts w:cs="Calibri Light"/>
          <w:sz w:val="22"/>
          <w:szCs w:val="22"/>
        </w:rPr>
        <w:t xml:space="preserve"> po uzgodnieniu </w:t>
      </w:r>
      <w:r>
        <w:rPr>
          <w:rFonts w:cs="Calibri Light"/>
          <w:sz w:val="22"/>
          <w:szCs w:val="22"/>
        </w:rPr>
        <w:t xml:space="preserve">z Radą treści </w:t>
      </w:r>
      <w:r w:rsidRPr="009028B0">
        <w:rPr>
          <w:rFonts w:cs="Calibri Light"/>
          <w:i/>
          <w:sz w:val="22"/>
          <w:szCs w:val="22"/>
        </w:rPr>
        <w:t>Regulaminu organizacyjnego Biura Funduszu</w:t>
      </w:r>
      <w:r w:rsidRPr="001300A8">
        <w:rPr>
          <w:rFonts w:cs="Calibri Light"/>
          <w:sz w:val="22"/>
          <w:szCs w:val="22"/>
        </w:rPr>
        <w:t xml:space="preserve">, </w:t>
      </w:r>
      <w:r>
        <w:rPr>
          <w:rFonts w:cs="Calibri Light"/>
          <w:sz w:val="22"/>
          <w:szCs w:val="22"/>
        </w:rPr>
        <w:t>utworzono</w:t>
      </w:r>
      <w:r w:rsidRPr="001300A8">
        <w:rPr>
          <w:rFonts w:cs="Calibri Light"/>
          <w:sz w:val="22"/>
          <w:szCs w:val="22"/>
        </w:rPr>
        <w:t xml:space="preserve"> nową komórkę organizacyjną - Departament Projektów Systemu Finansowego - przypisując jej zadania związane z analizą sektora ubezpieczeń i reasekuracji w związku z przygotowaniami do nowych zadań Funduszu związanych z obszarem przymusowej restrukturyzacji firm ubezpieczeniowych. W konsekwencji utworzenia nowej komórk</w:t>
      </w:r>
      <w:r>
        <w:rPr>
          <w:rFonts w:cs="Calibri Light"/>
          <w:sz w:val="22"/>
          <w:szCs w:val="22"/>
        </w:rPr>
        <w:t>i organizacyjnej Prezes Zarządu dokonał</w:t>
      </w:r>
      <w:r w:rsidRPr="001300A8">
        <w:rPr>
          <w:rFonts w:cs="Calibri Light"/>
          <w:sz w:val="22"/>
          <w:szCs w:val="22"/>
        </w:rPr>
        <w:t xml:space="preserve"> podział</w:t>
      </w:r>
      <w:r>
        <w:rPr>
          <w:rFonts w:cs="Calibri Light"/>
          <w:sz w:val="22"/>
          <w:szCs w:val="22"/>
        </w:rPr>
        <w:t>u</w:t>
      </w:r>
      <w:r w:rsidRPr="001300A8">
        <w:rPr>
          <w:rFonts w:cs="Calibri Light"/>
          <w:sz w:val="22"/>
          <w:szCs w:val="22"/>
        </w:rPr>
        <w:t xml:space="preserve"> zadań pomiędzy Członków Zarządu. </w:t>
      </w:r>
    </w:p>
    <w:p w:rsidR="00AB34FE" w:rsidRPr="001300A8" w:rsidRDefault="00AB34FE" w:rsidP="00BF72CF">
      <w:pPr>
        <w:spacing w:after="120"/>
        <w:ind w:firstLine="284"/>
        <w:rPr>
          <w:rFonts w:cs="Calibri Light"/>
          <w:sz w:val="22"/>
          <w:szCs w:val="22"/>
        </w:rPr>
      </w:pPr>
      <w:r>
        <w:rPr>
          <w:rFonts w:cs="Calibri Light"/>
          <w:sz w:val="22"/>
          <w:szCs w:val="22"/>
          <w:lang w:eastAsia="en-US"/>
        </w:rPr>
        <w:t>Od dnia 28 lipca 2022 r.</w:t>
      </w:r>
      <w:r w:rsidRPr="001300A8">
        <w:rPr>
          <w:rFonts w:cs="Calibri Light"/>
          <w:sz w:val="22"/>
          <w:szCs w:val="22"/>
          <w:lang w:eastAsia="en-US"/>
        </w:rPr>
        <w:t xml:space="preserve"> Członkowie Zarządu</w:t>
      </w:r>
      <w:r w:rsidRPr="001300A8">
        <w:rPr>
          <w:rFonts w:cs="Calibri Light"/>
          <w:sz w:val="22"/>
          <w:szCs w:val="22"/>
        </w:rPr>
        <w:t xml:space="preserve"> Funduszu nadzorowali następujące komórki organizacyjne</w:t>
      </w:r>
      <w:r w:rsidR="00BF72CF">
        <w:rPr>
          <w:rFonts w:cs="Calibri Light"/>
          <w:sz w:val="22"/>
          <w:szCs w:val="22"/>
        </w:rPr>
        <w:t>, odpowiednio</w:t>
      </w:r>
      <w:r w:rsidRPr="001300A8">
        <w:rPr>
          <w:rFonts w:cs="Calibri Light"/>
          <w:sz w:val="22"/>
          <w:szCs w:val="22"/>
        </w:rPr>
        <w:t xml:space="preserve">: </w:t>
      </w:r>
    </w:p>
    <w:p w:rsidR="00AB34FE" w:rsidRPr="001300A8" w:rsidRDefault="00AB34FE" w:rsidP="008004CF">
      <w:pPr>
        <w:pStyle w:val="Akapitzlist"/>
        <w:numPr>
          <w:ilvl w:val="0"/>
          <w:numId w:val="26"/>
        </w:numPr>
        <w:spacing w:after="0"/>
        <w:ind w:left="714" w:hanging="357"/>
        <w:rPr>
          <w:rFonts w:cs="Calibri Light"/>
          <w:sz w:val="22"/>
          <w:szCs w:val="22"/>
        </w:rPr>
      </w:pPr>
      <w:r w:rsidRPr="001300A8">
        <w:rPr>
          <w:rFonts w:cs="Calibri Light"/>
          <w:sz w:val="22"/>
          <w:szCs w:val="22"/>
        </w:rPr>
        <w:t xml:space="preserve">Piotr Tomaszewski </w:t>
      </w:r>
      <w:r w:rsidR="00BF72CF">
        <w:rPr>
          <w:rFonts w:cs="Calibri Light"/>
          <w:sz w:val="22"/>
          <w:szCs w:val="22"/>
        </w:rPr>
        <w:t>–</w:t>
      </w:r>
      <w:r w:rsidRPr="001300A8">
        <w:rPr>
          <w:rFonts w:cs="Calibri Light"/>
          <w:sz w:val="22"/>
          <w:szCs w:val="22"/>
        </w:rPr>
        <w:t xml:space="preserve"> Prezes Zarządu Funduszu: Biura Audytu Wewnętrznego, Biura Zarządu, Departamentu Kadr, Departamentu Planowania Przymusowej Restrukturyzacji, Departamentu Przymusowej Restrukturyzacji</w:t>
      </w:r>
      <w:r w:rsidR="006F5859">
        <w:rPr>
          <w:rFonts w:cs="Calibri Light"/>
          <w:sz w:val="22"/>
          <w:szCs w:val="22"/>
        </w:rPr>
        <w:t>,</w:t>
      </w:r>
    </w:p>
    <w:p w:rsidR="00AB34FE" w:rsidRPr="001300A8" w:rsidRDefault="00AB34FE" w:rsidP="008004CF">
      <w:pPr>
        <w:pStyle w:val="Akapitzlist"/>
        <w:numPr>
          <w:ilvl w:val="0"/>
          <w:numId w:val="26"/>
        </w:numPr>
        <w:spacing w:after="0"/>
        <w:ind w:left="714" w:hanging="357"/>
        <w:rPr>
          <w:rFonts w:cs="Calibri Light"/>
          <w:sz w:val="22"/>
          <w:szCs w:val="22"/>
        </w:rPr>
      </w:pPr>
      <w:r w:rsidRPr="001300A8">
        <w:rPr>
          <w:rFonts w:cs="Calibri Light"/>
          <w:sz w:val="22"/>
          <w:szCs w:val="22"/>
        </w:rPr>
        <w:t xml:space="preserve">Sławomir Stawczyk </w:t>
      </w:r>
      <w:r w:rsidR="00BF72CF">
        <w:rPr>
          <w:rFonts w:cs="Calibri Light"/>
          <w:sz w:val="22"/>
          <w:szCs w:val="22"/>
        </w:rPr>
        <w:t>–</w:t>
      </w:r>
      <w:r w:rsidRPr="001300A8">
        <w:rPr>
          <w:rFonts w:cs="Calibri Light"/>
          <w:sz w:val="22"/>
          <w:szCs w:val="22"/>
        </w:rPr>
        <w:t xml:space="preserve"> Zastępca Prezesa Zarządu Funduszu: Biura Ryzyka Operacyjnego i Zgodności, Departamentu Bezpieczeństwa, Departamentu Monitorowania Wsparcia i Dochodzenia Roszczeń, Departamentu Prawnego</w:t>
      </w:r>
      <w:r w:rsidR="006F5859">
        <w:rPr>
          <w:rFonts w:cs="Calibri Light"/>
          <w:sz w:val="22"/>
          <w:szCs w:val="22"/>
        </w:rPr>
        <w:t>,</w:t>
      </w:r>
    </w:p>
    <w:p w:rsidR="00AB34FE" w:rsidRPr="001300A8" w:rsidRDefault="00AB34FE" w:rsidP="008004CF">
      <w:pPr>
        <w:pStyle w:val="Akapitzlist"/>
        <w:numPr>
          <w:ilvl w:val="0"/>
          <w:numId w:val="26"/>
        </w:numPr>
        <w:spacing w:after="0"/>
        <w:ind w:left="714" w:hanging="357"/>
        <w:rPr>
          <w:rFonts w:cs="Calibri Light"/>
          <w:sz w:val="22"/>
          <w:szCs w:val="22"/>
        </w:rPr>
      </w:pPr>
      <w:r w:rsidRPr="001300A8">
        <w:rPr>
          <w:rFonts w:cs="Calibri Light"/>
          <w:sz w:val="22"/>
          <w:szCs w:val="22"/>
        </w:rPr>
        <w:t xml:space="preserve">Tomasz Obal </w:t>
      </w:r>
      <w:r w:rsidR="00BF72CF">
        <w:rPr>
          <w:rFonts w:cs="Calibri Light"/>
          <w:sz w:val="22"/>
          <w:szCs w:val="22"/>
        </w:rPr>
        <w:t>–</w:t>
      </w:r>
      <w:r w:rsidRPr="001300A8">
        <w:rPr>
          <w:rFonts w:cs="Calibri Light"/>
          <w:sz w:val="22"/>
          <w:szCs w:val="22"/>
        </w:rPr>
        <w:t xml:space="preserve"> Członek Zarządu Funduszu: Departamentu Administracji i Zamówień, Departamentu Gwarantowania Depozytów, Departamentu Informatyki, Departamentu Skarbu</w:t>
      </w:r>
      <w:r w:rsidR="006F5859">
        <w:rPr>
          <w:rFonts w:cs="Calibri Light"/>
          <w:sz w:val="22"/>
          <w:szCs w:val="22"/>
        </w:rPr>
        <w:t>,</w:t>
      </w:r>
    </w:p>
    <w:p w:rsidR="00AB34FE" w:rsidRPr="001300A8" w:rsidRDefault="00AB34FE" w:rsidP="008004CF">
      <w:pPr>
        <w:pStyle w:val="Akapitzlist"/>
        <w:numPr>
          <w:ilvl w:val="0"/>
          <w:numId w:val="26"/>
        </w:numPr>
        <w:spacing w:after="120"/>
        <w:ind w:left="714" w:hanging="357"/>
        <w:contextualSpacing w:val="0"/>
        <w:rPr>
          <w:rFonts w:cs="Calibri Light"/>
          <w:sz w:val="22"/>
          <w:szCs w:val="22"/>
        </w:rPr>
      </w:pPr>
      <w:r w:rsidRPr="001300A8">
        <w:rPr>
          <w:rFonts w:cs="Calibri Light"/>
          <w:sz w:val="22"/>
          <w:szCs w:val="22"/>
        </w:rPr>
        <w:t xml:space="preserve">Dagmara Wieczorek-Bartczak </w:t>
      </w:r>
      <w:r w:rsidR="00BF72CF">
        <w:rPr>
          <w:rFonts w:cs="Calibri Light"/>
          <w:sz w:val="22"/>
          <w:szCs w:val="22"/>
        </w:rPr>
        <w:t>– Członek Zarządu Funduszu</w:t>
      </w:r>
      <w:r w:rsidRPr="001300A8">
        <w:rPr>
          <w:rFonts w:cs="Calibri Light"/>
          <w:sz w:val="22"/>
          <w:szCs w:val="22"/>
        </w:rPr>
        <w:t>: Departamentu Analiz i Wczesnego Ostrzegania</w:t>
      </w:r>
      <w:r w:rsidR="00BF72CF">
        <w:rPr>
          <w:rFonts w:cs="Calibri Light"/>
          <w:sz w:val="22"/>
          <w:szCs w:val="22"/>
        </w:rPr>
        <w:t>,</w:t>
      </w:r>
      <w:r w:rsidRPr="001300A8">
        <w:rPr>
          <w:rFonts w:cs="Calibri Light"/>
          <w:sz w:val="22"/>
          <w:szCs w:val="22"/>
        </w:rPr>
        <w:t xml:space="preserve"> Departamentu Projektów Systemu Finansowego</w:t>
      </w:r>
      <w:r w:rsidR="00BF72CF">
        <w:rPr>
          <w:rFonts w:cs="Calibri Light"/>
          <w:sz w:val="22"/>
          <w:szCs w:val="22"/>
        </w:rPr>
        <w:t xml:space="preserve"> oraz</w:t>
      </w:r>
      <w:r w:rsidRPr="001300A8">
        <w:rPr>
          <w:rFonts w:cs="Calibri Light"/>
          <w:sz w:val="22"/>
          <w:szCs w:val="22"/>
        </w:rPr>
        <w:t xml:space="preserve"> Departamentu Rachunkowości.</w:t>
      </w:r>
    </w:p>
    <w:p w:rsidR="00AB34FE" w:rsidRPr="001300A8" w:rsidRDefault="00AB34FE" w:rsidP="00BF72CF">
      <w:pPr>
        <w:spacing w:after="120"/>
        <w:rPr>
          <w:rFonts w:cs="Calibri Light"/>
          <w:sz w:val="22"/>
          <w:szCs w:val="22"/>
        </w:rPr>
      </w:pPr>
      <w:r w:rsidRPr="001300A8">
        <w:rPr>
          <w:rFonts w:cs="Calibri Light"/>
          <w:sz w:val="22"/>
          <w:szCs w:val="22"/>
        </w:rPr>
        <w:t>W okresie sprawozdawczym Rada BFG odbyła 9 posiedzeń i podjęła 12 uchwał, a Zarząd Funduszu odbył 20 posiedzeń i podjął 129 uchwał (w tym 7 w trybie obiegowym). Prezes Zarządu wydał 5 </w:t>
      </w:r>
      <w:r w:rsidR="00BF72CF">
        <w:rPr>
          <w:rFonts w:cs="Calibri Light"/>
          <w:sz w:val="22"/>
          <w:szCs w:val="22"/>
        </w:rPr>
        <w:t>z</w:t>
      </w:r>
      <w:r w:rsidRPr="001300A8">
        <w:rPr>
          <w:rFonts w:cs="Calibri Light"/>
          <w:sz w:val="22"/>
          <w:szCs w:val="22"/>
        </w:rPr>
        <w:t>arządzeń.</w:t>
      </w:r>
    </w:p>
    <w:p w:rsidR="00AB34FE" w:rsidRPr="001300A8" w:rsidRDefault="00AB34FE" w:rsidP="006F5859">
      <w:pPr>
        <w:spacing w:after="120"/>
        <w:rPr>
          <w:rFonts w:cs="Calibri Light"/>
          <w:sz w:val="22"/>
          <w:szCs w:val="22"/>
        </w:rPr>
      </w:pPr>
      <w:r w:rsidRPr="001300A8">
        <w:rPr>
          <w:rFonts w:cs="Calibri Light"/>
          <w:sz w:val="22"/>
          <w:szCs w:val="22"/>
        </w:rPr>
        <w:t>Rada Fundusz</w:t>
      </w:r>
      <w:r>
        <w:rPr>
          <w:rFonts w:cs="Calibri Light"/>
          <w:sz w:val="22"/>
          <w:szCs w:val="22"/>
        </w:rPr>
        <w:t>u</w:t>
      </w:r>
      <w:r w:rsidRPr="001300A8">
        <w:rPr>
          <w:rFonts w:cs="Calibri Light"/>
          <w:sz w:val="22"/>
          <w:szCs w:val="22"/>
        </w:rPr>
        <w:t xml:space="preserve">, uwzględniając wniosek Zarządu </w:t>
      </w:r>
      <w:r w:rsidR="00BF72CF">
        <w:rPr>
          <w:rFonts w:cs="Calibri Light"/>
          <w:sz w:val="22"/>
          <w:szCs w:val="22"/>
        </w:rPr>
        <w:t>BFG</w:t>
      </w:r>
      <w:r w:rsidRPr="001300A8">
        <w:rPr>
          <w:rFonts w:cs="Calibri Light"/>
          <w:sz w:val="22"/>
          <w:szCs w:val="22"/>
        </w:rPr>
        <w:t>, określiła wysokość składek na fundusz gwarancyjny kas należnych od poszczególnych spółdzielczych kas osz</w:t>
      </w:r>
      <w:r w:rsidR="00BF72CF">
        <w:rPr>
          <w:rFonts w:cs="Calibri Light"/>
          <w:sz w:val="22"/>
          <w:szCs w:val="22"/>
        </w:rPr>
        <w:t>czędnościowo-kredytowych za III </w:t>
      </w:r>
      <w:r>
        <w:rPr>
          <w:rFonts w:cs="Calibri Light"/>
          <w:sz w:val="22"/>
          <w:szCs w:val="22"/>
        </w:rPr>
        <w:t>kwartał</w:t>
      </w:r>
      <w:r w:rsidRPr="001300A8">
        <w:rPr>
          <w:rFonts w:cs="Calibri Light"/>
          <w:sz w:val="22"/>
          <w:szCs w:val="22"/>
        </w:rPr>
        <w:t xml:space="preserve"> 2022 r.</w:t>
      </w:r>
    </w:p>
    <w:p w:rsidR="00AB34FE" w:rsidRPr="001300A8" w:rsidRDefault="00AB34FE" w:rsidP="006F5859">
      <w:pPr>
        <w:spacing w:after="120"/>
        <w:rPr>
          <w:rFonts w:cs="Calibri Light"/>
          <w:sz w:val="22"/>
          <w:szCs w:val="22"/>
        </w:rPr>
      </w:pPr>
      <w:r w:rsidRPr="001300A8">
        <w:rPr>
          <w:rFonts w:cs="Calibri Light"/>
          <w:sz w:val="22"/>
          <w:szCs w:val="22"/>
        </w:rPr>
        <w:t>W okresie sprawozdawczym Zarząd Funduszu przyjął sprawozdania związane ze wsparciem udzielonym w procesie restrukturyzacji spółdzielczych kas oszczędnościowo-kredytowych na podstawie umów gwarancji pokrycia strat za kolejne okresy rozliczeniowe, sporządzone przez BNP Paribas Bank Polska S.A., ING Bank Śląski S.A., Alior Bank S.A., Bank Polska Kasa Opieki S.A.</w:t>
      </w:r>
      <w:r w:rsidR="006F5859">
        <w:rPr>
          <w:rFonts w:cs="Calibri Light"/>
          <w:sz w:val="22"/>
          <w:szCs w:val="22"/>
        </w:rPr>
        <w:t xml:space="preserve"> (Bank Pekao S.A.)</w:t>
      </w:r>
      <w:r w:rsidRPr="001300A8">
        <w:rPr>
          <w:rFonts w:cs="Calibri Light"/>
          <w:sz w:val="22"/>
          <w:szCs w:val="22"/>
        </w:rPr>
        <w:t>, a także podjął decyzje w s</w:t>
      </w:r>
      <w:r>
        <w:rPr>
          <w:rFonts w:cs="Calibri Light"/>
          <w:sz w:val="22"/>
          <w:szCs w:val="22"/>
        </w:rPr>
        <w:t>prawie</w:t>
      </w:r>
      <w:r w:rsidRPr="001300A8">
        <w:rPr>
          <w:rFonts w:cs="Calibri Light"/>
          <w:sz w:val="22"/>
          <w:szCs w:val="22"/>
        </w:rPr>
        <w:t>:</w:t>
      </w:r>
    </w:p>
    <w:p w:rsidR="00AB34FE" w:rsidRPr="001300A8" w:rsidRDefault="00AB34FE" w:rsidP="008004CF">
      <w:pPr>
        <w:pStyle w:val="Akapitzlist"/>
        <w:numPr>
          <w:ilvl w:val="0"/>
          <w:numId w:val="26"/>
        </w:numPr>
        <w:spacing w:after="0"/>
        <w:ind w:left="714" w:hanging="357"/>
        <w:rPr>
          <w:rFonts w:cs="Calibri Light"/>
          <w:sz w:val="22"/>
          <w:szCs w:val="22"/>
        </w:rPr>
      </w:pPr>
      <w:r w:rsidRPr="001300A8">
        <w:rPr>
          <w:rFonts w:cs="Calibri Light"/>
          <w:sz w:val="22"/>
          <w:szCs w:val="22"/>
        </w:rPr>
        <w:t>udzielenia zgody Bankowi Millennium S.A. na spisanie poza konta bilansowe i umorzenie wybranych praw majątkowych</w:t>
      </w:r>
      <w:r w:rsidR="006F5859">
        <w:rPr>
          <w:rFonts w:cs="Calibri Light"/>
          <w:sz w:val="22"/>
          <w:szCs w:val="22"/>
        </w:rPr>
        <w:t>,</w:t>
      </w:r>
    </w:p>
    <w:p w:rsidR="00AB34FE" w:rsidRPr="001300A8" w:rsidRDefault="00AB34FE" w:rsidP="008004CF">
      <w:pPr>
        <w:pStyle w:val="Akapitzlist"/>
        <w:numPr>
          <w:ilvl w:val="0"/>
          <w:numId w:val="26"/>
        </w:numPr>
        <w:spacing w:after="0"/>
        <w:rPr>
          <w:rFonts w:cs="Calibri Light"/>
          <w:sz w:val="22"/>
          <w:szCs w:val="22"/>
        </w:rPr>
      </w:pPr>
      <w:r w:rsidRPr="001300A8">
        <w:rPr>
          <w:rFonts w:cs="Calibri Light"/>
          <w:sz w:val="22"/>
          <w:szCs w:val="22"/>
        </w:rPr>
        <w:t>wyrażenia zgody Alior Bankowi S.A. na sprzedaż nieruchomości</w:t>
      </w:r>
      <w:r w:rsidR="006F5859">
        <w:rPr>
          <w:rFonts w:cs="Calibri Light"/>
          <w:sz w:val="22"/>
          <w:szCs w:val="22"/>
        </w:rPr>
        <w:t>,</w:t>
      </w:r>
    </w:p>
    <w:p w:rsidR="00AB34FE" w:rsidRPr="001300A8" w:rsidRDefault="00AB34FE" w:rsidP="008004CF">
      <w:pPr>
        <w:pStyle w:val="Akapitzlist"/>
        <w:numPr>
          <w:ilvl w:val="0"/>
          <w:numId w:val="26"/>
        </w:numPr>
        <w:spacing w:after="0"/>
        <w:rPr>
          <w:rFonts w:cs="Calibri Light"/>
          <w:sz w:val="22"/>
          <w:szCs w:val="22"/>
        </w:rPr>
      </w:pPr>
      <w:r w:rsidRPr="001300A8">
        <w:rPr>
          <w:rFonts w:cs="Calibri Light"/>
          <w:sz w:val="22"/>
          <w:szCs w:val="22"/>
        </w:rPr>
        <w:t>akceptacji przed rozpoczęciem procesu sprzedaży w trybie przetargu kryteriów doboru praw majątkowych przeznaczonych do sprzedaży oraz przewidywanych kosztów sprzedaży portfela wierzytelności</w:t>
      </w:r>
      <w:r w:rsidR="006F5859">
        <w:rPr>
          <w:rFonts w:cs="Calibri Light"/>
          <w:sz w:val="22"/>
          <w:szCs w:val="22"/>
        </w:rPr>
        <w:t>,</w:t>
      </w:r>
    </w:p>
    <w:p w:rsidR="00AB34FE" w:rsidRPr="001300A8" w:rsidRDefault="00AB34FE" w:rsidP="008004CF">
      <w:pPr>
        <w:pStyle w:val="Akapitzlist"/>
        <w:numPr>
          <w:ilvl w:val="0"/>
          <w:numId w:val="26"/>
        </w:numPr>
        <w:spacing w:after="0"/>
        <w:rPr>
          <w:rFonts w:cs="Calibri Light"/>
          <w:sz w:val="22"/>
          <w:szCs w:val="22"/>
        </w:rPr>
      </w:pPr>
      <w:r w:rsidRPr="001300A8">
        <w:rPr>
          <w:rFonts w:cs="Calibri Light"/>
          <w:sz w:val="22"/>
          <w:szCs w:val="22"/>
        </w:rPr>
        <w:t>wyrażenia zgody Bankowi Polska Kasa Opieki S.A. na proponowane finansowe warunki transakcji sprzedaży wybranych praw majątkowych.</w:t>
      </w:r>
    </w:p>
    <w:p w:rsidR="00AB34FE" w:rsidRPr="001300A8" w:rsidRDefault="00AB34FE" w:rsidP="00AB34FE">
      <w:pPr>
        <w:spacing w:after="0"/>
        <w:ind w:firstLine="0"/>
        <w:contextualSpacing/>
        <w:rPr>
          <w:rFonts w:cs="Calibri Light"/>
          <w:sz w:val="22"/>
          <w:szCs w:val="22"/>
        </w:rPr>
      </w:pPr>
    </w:p>
    <w:p w:rsidR="00AB34FE" w:rsidRPr="001300A8" w:rsidRDefault="00AB34FE" w:rsidP="007F5082">
      <w:pPr>
        <w:spacing w:after="120"/>
        <w:rPr>
          <w:rFonts w:cs="Calibri Light"/>
          <w:sz w:val="22"/>
          <w:szCs w:val="22"/>
        </w:rPr>
      </w:pPr>
      <w:r w:rsidRPr="001300A8">
        <w:rPr>
          <w:rFonts w:cs="Calibri Light"/>
          <w:sz w:val="22"/>
          <w:szCs w:val="22"/>
        </w:rPr>
        <w:t>Na wniosek KNF, Fundusz wydał 13 opinii w sprawie przewidywanego wpływu wykonania planów naprawy podmiotów na przymusową restrukturyzację dla: 3 banków spółdzielczych, 4 grup kapitałowych</w:t>
      </w:r>
      <w:r w:rsidR="006F5859">
        <w:rPr>
          <w:rFonts w:cs="Calibri Light"/>
          <w:sz w:val="22"/>
          <w:szCs w:val="22"/>
        </w:rPr>
        <w:t xml:space="preserve"> oraz</w:t>
      </w:r>
      <w:r w:rsidRPr="001300A8">
        <w:rPr>
          <w:rFonts w:cs="Calibri Light"/>
          <w:sz w:val="22"/>
          <w:szCs w:val="22"/>
        </w:rPr>
        <w:t xml:space="preserve"> 6 banków komercyjnych. </w:t>
      </w:r>
    </w:p>
    <w:p w:rsidR="00AB34FE" w:rsidRPr="001300A8" w:rsidRDefault="00AB34FE" w:rsidP="006F5859">
      <w:pPr>
        <w:spacing w:after="120"/>
        <w:ind w:firstLine="360"/>
        <w:rPr>
          <w:rFonts w:cs="Calibri Light"/>
          <w:sz w:val="22"/>
          <w:szCs w:val="22"/>
        </w:rPr>
      </w:pPr>
      <w:r w:rsidRPr="001300A8">
        <w:rPr>
          <w:rFonts w:cs="Calibri Light"/>
          <w:sz w:val="22"/>
          <w:szCs w:val="22"/>
        </w:rPr>
        <w:t>W okresie sprawozdawczym Fundusz przyjął przeglądy planów przy</w:t>
      </w:r>
      <w:r w:rsidR="006F5859">
        <w:rPr>
          <w:rFonts w:cs="Calibri Light"/>
          <w:sz w:val="22"/>
          <w:szCs w:val="22"/>
        </w:rPr>
        <w:t>musowej restrukturyzacji dla 64 </w:t>
      </w:r>
      <w:r w:rsidRPr="001300A8">
        <w:rPr>
          <w:rFonts w:cs="Calibri Light"/>
          <w:sz w:val="22"/>
          <w:szCs w:val="22"/>
        </w:rPr>
        <w:t xml:space="preserve">banków spółdzielczych. </w:t>
      </w:r>
    </w:p>
    <w:p w:rsidR="00AB34FE" w:rsidRPr="001300A8" w:rsidRDefault="00AB34FE" w:rsidP="00CD5EA4">
      <w:pPr>
        <w:spacing w:after="120"/>
        <w:rPr>
          <w:rFonts w:cs="Calibri Light"/>
          <w:sz w:val="22"/>
          <w:szCs w:val="22"/>
        </w:rPr>
      </w:pPr>
      <w:r w:rsidRPr="001300A8">
        <w:rPr>
          <w:rFonts w:cs="Calibri Light"/>
          <w:sz w:val="22"/>
          <w:szCs w:val="22"/>
        </w:rPr>
        <w:t>Przedmiotem posiedzeń Rady Funduszu były materiały dotyczące m.in.:</w:t>
      </w:r>
    </w:p>
    <w:p w:rsidR="00AB34FE" w:rsidRPr="001300A8" w:rsidRDefault="00AB34FE" w:rsidP="008004CF">
      <w:pPr>
        <w:pStyle w:val="Akapitzlist"/>
        <w:numPr>
          <w:ilvl w:val="0"/>
          <w:numId w:val="24"/>
        </w:numPr>
        <w:autoSpaceDE w:val="0"/>
        <w:autoSpaceDN w:val="0"/>
        <w:spacing w:after="0"/>
        <w:rPr>
          <w:rFonts w:cs="Calibri Light"/>
          <w:sz w:val="22"/>
          <w:szCs w:val="22"/>
        </w:rPr>
      </w:pPr>
      <w:r w:rsidRPr="001300A8">
        <w:rPr>
          <w:rFonts w:cs="Calibri Light"/>
          <w:sz w:val="22"/>
          <w:szCs w:val="22"/>
        </w:rPr>
        <w:t>sytuacji finansowej w sektorze bankowym i bankach o podwyższonym ryzku,</w:t>
      </w:r>
    </w:p>
    <w:p w:rsidR="00AB34FE" w:rsidRPr="001300A8" w:rsidRDefault="00AB34FE" w:rsidP="008004CF">
      <w:pPr>
        <w:numPr>
          <w:ilvl w:val="0"/>
          <w:numId w:val="24"/>
        </w:numPr>
        <w:spacing w:after="0"/>
        <w:ind w:right="74"/>
        <w:contextualSpacing/>
        <w:rPr>
          <w:rFonts w:cs="Calibri Light"/>
          <w:sz w:val="22"/>
          <w:szCs w:val="22"/>
        </w:rPr>
      </w:pPr>
      <w:r w:rsidRPr="001300A8">
        <w:rPr>
          <w:rFonts w:cs="Calibri Light"/>
          <w:sz w:val="22"/>
          <w:szCs w:val="22"/>
        </w:rPr>
        <w:t>wyników monitorowania i kontroli w bankach korzystających ze wsparcia BFG - według stanu na 30 czerwca 2022 r. o stanie postępowań upadłościowych z uwzględnieniem stanów odzysków oraz ich szacunków.</w:t>
      </w:r>
    </w:p>
    <w:p w:rsidR="00AB34FE" w:rsidRPr="001300A8" w:rsidRDefault="00AB34FE" w:rsidP="007F5082">
      <w:pPr>
        <w:spacing w:before="120" w:after="120"/>
        <w:rPr>
          <w:rFonts w:cs="Calibri Light"/>
          <w:sz w:val="22"/>
          <w:szCs w:val="22"/>
        </w:rPr>
      </w:pPr>
      <w:r w:rsidRPr="001300A8">
        <w:rPr>
          <w:rFonts w:cs="Calibri Light"/>
          <w:sz w:val="22"/>
          <w:szCs w:val="22"/>
        </w:rPr>
        <w:t>W okresie sprawozdawczym Rada Funduszu zapoznawała się również z materiałami informacyjnymi dotyczącymi m.in.:</w:t>
      </w:r>
    </w:p>
    <w:p w:rsidR="00AB34FE" w:rsidRPr="001300A8" w:rsidRDefault="00AB34FE" w:rsidP="008004CF">
      <w:pPr>
        <w:pStyle w:val="Akapitzlist"/>
        <w:numPr>
          <w:ilvl w:val="0"/>
          <w:numId w:val="25"/>
        </w:numPr>
        <w:spacing w:after="0"/>
        <w:rPr>
          <w:rFonts w:cs="Calibri Light"/>
          <w:sz w:val="22"/>
          <w:szCs w:val="22"/>
        </w:rPr>
      </w:pPr>
      <w:r w:rsidRPr="001300A8">
        <w:rPr>
          <w:rFonts w:cs="Calibri Light"/>
          <w:sz w:val="22"/>
          <w:szCs w:val="22"/>
        </w:rPr>
        <w:t>wyników kontroli prawidłowości danych – według stanu na 30 czerwca 2022 r.</w:t>
      </w:r>
      <w:r>
        <w:rPr>
          <w:rFonts w:cs="Calibri Light"/>
          <w:sz w:val="22"/>
          <w:szCs w:val="22"/>
        </w:rPr>
        <w:t>,</w:t>
      </w:r>
      <w:r w:rsidRPr="001300A8">
        <w:rPr>
          <w:rFonts w:cs="Calibri Light"/>
          <w:sz w:val="22"/>
          <w:szCs w:val="22"/>
        </w:rPr>
        <w:t xml:space="preserve"> </w:t>
      </w:r>
    </w:p>
    <w:p w:rsidR="00AB34FE" w:rsidRPr="001300A8" w:rsidRDefault="00AB34FE" w:rsidP="008004CF">
      <w:pPr>
        <w:pStyle w:val="Akapitzlist"/>
        <w:numPr>
          <w:ilvl w:val="0"/>
          <w:numId w:val="25"/>
        </w:numPr>
        <w:spacing w:after="0"/>
        <w:rPr>
          <w:rFonts w:cs="Calibri Light"/>
          <w:sz w:val="22"/>
          <w:szCs w:val="22"/>
        </w:rPr>
      </w:pPr>
      <w:r w:rsidRPr="001300A8">
        <w:rPr>
          <w:rFonts w:cs="Calibri Light"/>
          <w:sz w:val="22"/>
          <w:szCs w:val="22"/>
        </w:rPr>
        <w:t>składek na rzecz BFG wniesionych w 2022 r. na fundusz przymusowej restrukturyzacji,</w:t>
      </w:r>
    </w:p>
    <w:p w:rsidR="00AB34FE" w:rsidRPr="001300A8" w:rsidRDefault="00AB34FE" w:rsidP="008004CF">
      <w:pPr>
        <w:pStyle w:val="Akapitzlist"/>
        <w:numPr>
          <w:ilvl w:val="0"/>
          <w:numId w:val="25"/>
        </w:numPr>
        <w:spacing w:after="0"/>
        <w:ind w:left="714" w:hanging="357"/>
        <w:rPr>
          <w:rFonts w:cs="Calibri Light"/>
          <w:sz w:val="22"/>
          <w:szCs w:val="22"/>
        </w:rPr>
      </w:pPr>
      <w:r w:rsidRPr="001300A8">
        <w:rPr>
          <w:rFonts w:cs="Calibri Light"/>
          <w:sz w:val="22"/>
          <w:szCs w:val="22"/>
        </w:rPr>
        <w:t>składek na rzecz BFG wniesionych w II kwartale 2022 r.</w:t>
      </w:r>
      <w:r>
        <w:rPr>
          <w:rFonts w:cs="Calibri Light"/>
          <w:sz w:val="22"/>
          <w:szCs w:val="22"/>
        </w:rPr>
        <w:t xml:space="preserve"> na fundusz gwarancyjny kas,</w:t>
      </w:r>
    </w:p>
    <w:p w:rsidR="00AB34FE" w:rsidRPr="001300A8" w:rsidRDefault="00AB34FE" w:rsidP="008004CF">
      <w:pPr>
        <w:pStyle w:val="Akapitzlist"/>
        <w:numPr>
          <w:ilvl w:val="0"/>
          <w:numId w:val="25"/>
        </w:numPr>
        <w:spacing w:after="120"/>
        <w:contextualSpacing w:val="0"/>
        <w:rPr>
          <w:rFonts w:cs="Calibri Light"/>
          <w:sz w:val="22"/>
          <w:szCs w:val="22"/>
        </w:rPr>
      </w:pPr>
      <w:r w:rsidRPr="001300A8">
        <w:rPr>
          <w:rFonts w:cs="Calibri Light"/>
          <w:sz w:val="22"/>
          <w:szCs w:val="22"/>
        </w:rPr>
        <w:t>przyjętych lub zaktualizowanych plan</w:t>
      </w:r>
      <w:r w:rsidR="007F5082">
        <w:rPr>
          <w:rFonts w:cs="Calibri Light"/>
          <w:sz w:val="22"/>
          <w:szCs w:val="22"/>
        </w:rPr>
        <w:t>ów</w:t>
      </w:r>
      <w:r w:rsidRPr="001300A8">
        <w:rPr>
          <w:rFonts w:cs="Calibri Light"/>
          <w:sz w:val="22"/>
          <w:szCs w:val="22"/>
        </w:rPr>
        <w:t xml:space="preserve"> przymusowej restrukturyzacji i grupowych plan</w:t>
      </w:r>
      <w:r w:rsidR="007F5082">
        <w:rPr>
          <w:rFonts w:cs="Calibri Light"/>
          <w:sz w:val="22"/>
          <w:szCs w:val="22"/>
        </w:rPr>
        <w:t xml:space="preserve">ów </w:t>
      </w:r>
      <w:r w:rsidRPr="001300A8">
        <w:rPr>
          <w:rFonts w:cs="Calibri Light"/>
          <w:sz w:val="22"/>
          <w:szCs w:val="22"/>
        </w:rPr>
        <w:t>przymusowej restrukturyzacji oraz dokonanych przeglądach planów przymusowej restrukturyzacji oraz grupowych planów przymusowej restrukturyzacji w II kwartale 2022 r.</w:t>
      </w:r>
    </w:p>
    <w:p w:rsidR="00AB34FE" w:rsidRPr="001300A8" w:rsidRDefault="00AB34FE" w:rsidP="007F5082">
      <w:pPr>
        <w:spacing w:after="120"/>
        <w:ind w:firstLine="360"/>
        <w:rPr>
          <w:rFonts w:cs="Calibri Light"/>
          <w:sz w:val="22"/>
          <w:szCs w:val="22"/>
        </w:rPr>
      </w:pPr>
      <w:r w:rsidRPr="001300A8">
        <w:rPr>
          <w:rFonts w:cs="Calibri Light"/>
          <w:sz w:val="22"/>
          <w:szCs w:val="22"/>
        </w:rPr>
        <w:t xml:space="preserve">Radzie Funduszu </w:t>
      </w:r>
      <w:r>
        <w:rPr>
          <w:rFonts w:cs="Calibri Light"/>
          <w:sz w:val="22"/>
          <w:szCs w:val="22"/>
        </w:rPr>
        <w:t xml:space="preserve">została </w:t>
      </w:r>
      <w:r w:rsidRPr="001300A8">
        <w:rPr>
          <w:rFonts w:cs="Calibri Light"/>
          <w:sz w:val="22"/>
          <w:szCs w:val="22"/>
        </w:rPr>
        <w:t>przedstawiona informacja na temat postępów podmiotów w wypełnianiu</w:t>
      </w:r>
      <w:r>
        <w:rPr>
          <w:rFonts w:cs="Calibri Light"/>
          <w:sz w:val="22"/>
          <w:szCs w:val="22"/>
        </w:rPr>
        <w:t xml:space="preserve"> wymogu</w:t>
      </w:r>
      <w:r w:rsidRPr="001300A8">
        <w:rPr>
          <w:rFonts w:cs="Calibri Light"/>
          <w:sz w:val="22"/>
          <w:szCs w:val="22"/>
        </w:rPr>
        <w:t xml:space="preserve"> MREL oraz propozycja nowelizacji zasad wyznaczania i preferencji w zakresie wypełniania wymogu MREL w cyklu planistycznym 2022. </w:t>
      </w:r>
    </w:p>
    <w:p w:rsidR="00AB34FE" w:rsidRPr="001300A8" w:rsidRDefault="00AB34FE" w:rsidP="007F5082">
      <w:pPr>
        <w:spacing w:after="120"/>
        <w:ind w:firstLine="360"/>
        <w:rPr>
          <w:rFonts w:cs="Calibri Light"/>
          <w:sz w:val="22"/>
          <w:szCs w:val="22"/>
        </w:rPr>
      </w:pPr>
      <w:r w:rsidRPr="001300A8">
        <w:rPr>
          <w:rFonts w:cs="Calibri Light"/>
          <w:sz w:val="22"/>
          <w:szCs w:val="22"/>
        </w:rPr>
        <w:t xml:space="preserve">W III kwartale </w:t>
      </w:r>
      <w:r>
        <w:rPr>
          <w:rFonts w:cs="Calibri Light"/>
          <w:sz w:val="22"/>
          <w:szCs w:val="22"/>
        </w:rPr>
        <w:t xml:space="preserve">2022 r. </w:t>
      </w:r>
      <w:r w:rsidRPr="001300A8">
        <w:rPr>
          <w:rFonts w:cs="Calibri Light"/>
          <w:sz w:val="22"/>
          <w:szCs w:val="22"/>
        </w:rPr>
        <w:t>Fundusz notyfikował Europejskiemu Ur</w:t>
      </w:r>
      <w:r>
        <w:rPr>
          <w:rFonts w:cs="Calibri Light"/>
          <w:sz w:val="22"/>
          <w:szCs w:val="22"/>
        </w:rPr>
        <w:t>zędowi Nadzoru Bankowego zamiar</w:t>
      </w:r>
      <w:r w:rsidRPr="001300A8">
        <w:rPr>
          <w:rFonts w:cs="Calibri Light"/>
          <w:sz w:val="22"/>
          <w:szCs w:val="22"/>
        </w:rPr>
        <w:t xml:space="preserve"> stosowania Wytycznych EUNB w sprawie równoważności zasad poufności (EBA/GL/2022/04).</w:t>
      </w:r>
    </w:p>
    <w:p w:rsidR="00AB34FE" w:rsidRPr="001300A8" w:rsidRDefault="00AB34FE" w:rsidP="007F5082">
      <w:pPr>
        <w:spacing w:after="120"/>
        <w:ind w:firstLine="360"/>
        <w:rPr>
          <w:rFonts w:cs="Calibri Light"/>
          <w:sz w:val="22"/>
          <w:szCs w:val="22"/>
        </w:rPr>
      </w:pPr>
      <w:r w:rsidRPr="001300A8">
        <w:rPr>
          <w:rFonts w:cs="Calibri Light"/>
          <w:sz w:val="22"/>
          <w:szCs w:val="22"/>
        </w:rPr>
        <w:t xml:space="preserve">Rada Funduszu </w:t>
      </w:r>
      <w:r w:rsidRPr="001300A8">
        <w:rPr>
          <w:rFonts w:cs="Calibri Light"/>
          <w:spacing w:val="-3"/>
          <w:sz w:val="22"/>
          <w:szCs w:val="22"/>
        </w:rPr>
        <w:t xml:space="preserve">działając jako kierownik zamawiającego w rozumieniu art. 7 pkt 7 ustawy Pzp, po zapoznaniu się z wynikami prac, propozycjami i wnioskami komisji przetargowej powołanej na podstawie uchwały nr 213/DR/2022 Zarządu BFG z dnia 23 czerwca 2022 r., zatwierdziła wniosek komisji przetargowej z dnia 12 września 2022 r. o akceptację wyniku postępowania o udzielenie zamówienia publicznego, którego przedmiotem było przeprowadzenie przez uprawniony podmiot badania sprawozdań finansowych Bankowego Funduszu Gwarancyjnego za lata 2022 - 2025, prowadzonego w trybie przetargu nieograniczonego, o którym mowa w art. 132 ustawy Pzp oraz </w:t>
      </w:r>
      <w:r w:rsidRPr="001300A8">
        <w:rPr>
          <w:rFonts w:cs="Calibri Light"/>
          <w:color w:val="000000"/>
          <w:sz w:val="22"/>
          <w:szCs w:val="22"/>
        </w:rPr>
        <w:t>wybrała jako najkorzystniejszą ofe</w:t>
      </w:r>
      <w:r w:rsidR="007F5082">
        <w:rPr>
          <w:rFonts w:cs="Calibri Light"/>
          <w:color w:val="000000"/>
          <w:sz w:val="22"/>
          <w:szCs w:val="22"/>
        </w:rPr>
        <w:t>rtę złożoną przez wykonawcę PKF </w:t>
      </w:r>
      <w:r w:rsidRPr="001300A8">
        <w:rPr>
          <w:rFonts w:cs="Calibri Light"/>
          <w:color w:val="000000"/>
          <w:sz w:val="22"/>
          <w:szCs w:val="22"/>
        </w:rPr>
        <w:t>Consult Spółka z ograniczoną odpowiedzialnością Sp.k. z siedzibą w Warszawie.</w:t>
      </w:r>
    </w:p>
    <w:p w:rsidR="00AB34FE" w:rsidRPr="007F5082" w:rsidRDefault="00AB34FE" w:rsidP="007F5082">
      <w:pPr>
        <w:spacing w:after="120"/>
        <w:ind w:firstLine="360"/>
        <w:rPr>
          <w:rFonts w:cs="Calibri Light"/>
          <w:i/>
          <w:sz w:val="22"/>
          <w:szCs w:val="22"/>
        </w:rPr>
      </w:pPr>
      <w:r w:rsidRPr="001300A8">
        <w:rPr>
          <w:rFonts w:cs="Calibri Light"/>
          <w:sz w:val="22"/>
          <w:szCs w:val="22"/>
        </w:rPr>
        <w:t xml:space="preserve">Rada Funduszu na wniosek Zarządu Funduszu uchwaliła </w:t>
      </w:r>
      <w:r w:rsidRPr="007F5082">
        <w:rPr>
          <w:rFonts w:cs="Calibri Light"/>
          <w:i/>
          <w:sz w:val="22"/>
          <w:szCs w:val="22"/>
        </w:rPr>
        <w:t>Regulamin Zarządu Bankowego Funduszu Gwarancyjnego.</w:t>
      </w:r>
    </w:p>
    <w:p w:rsidR="00AB34FE" w:rsidRDefault="00AB34FE" w:rsidP="007F5082">
      <w:pPr>
        <w:spacing w:after="120"/>
        <w:rPr>
          <w:rFonts w:cs="Calibri Light"/>
          <w:sz w:val="22"/>
          <w:szCs w:val="22"/>
        </w:rPr>
      </w:pPr>
      <w:r w:rsidRPr="001300A8">
        <w:rPr>
          <w:rFonts w:cs="Calibri Light"/>
          <w:sz w:val="22"/>
          <w:szCs w:val="22"/>
        </w:rPr>
        <w:t>Wypełniając funkcję kuratora, Zarząd Funduszu przyjmował comiesięczne sprawozdania z pełnienia funkcji kuratora Getin Noble Banku</w:t>
      </w:r>
      <w:r w:rsidR="007F5082">
        <w:rPr>
          <w:rFonts w:cs="Calibri Light"/>
          <w:sz w:val="22"/>
          <w:szCs w:val="22"/>
        </w:rPr>
        <w:t xml:space="preserve"> S.A.</w:t>
      </w:r>
      <w:r w:rsidRPr="001300A8">
        <w:rPr>
          <w:rFonts w:cs="Calibri Light"/>
          <w:sz w:val="22"/>
          <w:szCs w:val="22"/>
        </w:rPr>
        <w:t xml:space="preserve"> oraz przekazywał je Komisji Nadzoru Finansowego oraz do wiadomości Radzie Funduszu. </w:t>
      </w:r>
      <w:r>
        <w:rPr>
          <w:rFonts w:cs="Calibri Light"/>
          <w:sz w:val="22"/>
          <w:szCs w:val="22"/>
        </w:rPr>
        <w:t>P</w:t>
      </w:r>
      <w:r w:rsidRPr="001300A8">
        <w:rPr>
          <w:rFonts w:cs="Calibri Light"/>
          <w:sz w:val="22"/>
          <w:szCs w:val="22"/>
        </w:rPr>
        <w:t>rzedmiotem posiedzeń Rady Funduszu był również status przygotowań do procesu przymusowej restrukturyzacji Getin Noble Bank S.A.</w:t>
      </w:r>
    </w:p>
    <w:p w:rsidR="00AB34FE" w:rsidRPr="001300A8" w:rsidRDefault="00AB34FE" w:rsidP="007F5082">
      <w:pPr>
        <w:spacing w:after="120"/>
        <w:rPr>
          <w:rFonts w:cs="Calibri Light"/>
          <w:sz w:val="22"/>
          <w:szCs w:val="22"/>
          <w:highlight w:val="yellow"/>
        </w:rPr>
      </w:pPr>
      <w:r w:rsidRPr="001300A8">
        <w:rPr>
          <w:rFonts w:cs="Calibri Light"/>
          <w:sz w:val="22"/>
          <w:szCs w:val="22"/>
        </w:rPr>
        <w:t>Poprzedzając wydanie decyzji</w:t>
      </w:r>
      <w:r>
        <w:rPr>
          <w:rFonts w:cs="Calibri Light"/>
          <w:sz w:val="22"/>
          <w:szCs w:val="22"/>
        </w:rPr>
        <w:t xml:space="preserve"> administracyjnej</w:t>
      </w:r>
      <w:r w:rsidRPr="001300A8">
        <w:rPr>
          <w:rFonts w:cs="Calibri Light"/>
          <w:sz w:val="22"/>
          <w:szCs w:val="22"/>
        </w:rPr>
        <w:t xml:space="preserve"> o wszczęciu przymusowej restrukturyzacji wobec Getin Noble Bank S.A., Zarząd</w:t>
      </w:r>
      <w:r>
        <w:rPr>
          <w:rFonts w:cs="Calibri Light"/>
          <w:sz w:val="22"/>
          <w:szCs w:val="22"/>
        </w:rPr>
        <w:t xml:space="preserve"> Funduszu</w:t>
      </w:r>
      <w:r w:rsidRPr="001300A8">
        <w:rPr>
          <w:rFonts w:cs="Calibri Light"/>
          <w:sz w:val="22"/>
          <w:szCs w:val="22"/>
        </w:rPr>
        <w:t xml:space="preserve"> podjął szereg decyzji:</w:t>
      </w:r>
    </w:p>
    <w:p w:rsidR="00AB34FE" w:rsidRPr="001300A8" w:rsidRDefault="00AB34FE" w:rsidP="008004CF">
      <w:pPr>
        <w:pStyle w:val="Akapitzlist"/>
        <w:numPr>
          <w:ilvl w:val="0"/>
          <w:numId w:val="27"/>
        </w:numPr>
        <w:spacing w:after="0"/>
        <w:ind w:left="714" w:hanging="357"/>
        <w:rPr>
          <w:rFonts w:cs="Calibri Light"/>
          <w:sz w:val="22"/>
          <w:szCs w:val="22"/>
        </w:rPr>
      </w:pPr>
      <w:r w:rsidRPr="001300A8">
        <w:rPr>
          <w:rFonts w:cs="Calibri Light"/>
          <w:sz w:val="22"/>
          <w:szCs w:val="22"/>
        </w:rPr>
        <w:t>w sprawie zakończenia procesu poszukiwania podmiotu przejmującego oraz dalszych działań</w:t>
      </w:r>
      <w:r w:rsidR="007F5082">
        <w:rPr>
          <w:rFonts w:cs="Calibri Light"/>
          <w:sz w:val="22"/>
          <w:szCs w:val="22"/>
        </w:rPr>
        <w:t>,</w:t>
      </w:r>
    </w:p>
    <w:p w:rsidR="00AB34FE" w:rsidRPr="001300A8" w:rsidRDefault="00AB34FE" w:rsidP="008004CF">
      <w:pPr>
        <w:pStyle w:val="Akapitzlist"/>
        <w:numPr>
          <w:ilvl w:val="0"/>
          <w:numId w:val="27"/>
        </w:numPr>
        <w:spacing w:before="240" w:after="0"/>
        <w:rPr>
          <w:rFonts w:cs="Calibri Light"/>
          <w:sz w:val="22"/>
          <w:szCs w:val="22"/>
        </w:rPr>
      </w:pPr>
      <w:r w:rsidRPr="001300A8">
        <w:rPr>
          <w:rFonts w:cs="Calibri Light"/>
          <w:sz w:val="22"/>
          <w:szCs w:val="22"/>
        </w:rPr>
        <w:t xml:space="preserve">w sprawie wystąpienia do Rady </w:t>
      </w:r>
      <w:r w:rsidR="007F5082">
        <w:rPr>
          <w:rFonts w:cs="Calibri Light"/>
          <w:sz w:val="22"/>
          <w:szCs w:val="22"/>
        </w:rPr>
        <w:t>BFG</w:t>
      </w:r>
      <w:r w:rsidRPr="001300A8">
        <w:rPr>
          <w:rFonts w:cs="Calibri Light"/>
          <w:sz w:val="22"/>
          <w:szCs w:val="22"/>
        </w:rPr>
        <w:t xml:space="preserve"> z wnioskiem o wyrażenie opin</w:t>
      </w:r>
      <w:r w:rsidR="007F5082">
        <w:rPr>
          <w:rFonts w:cs="Calibri Light"/>
          <w:sz w:val="22"/>
          <w:szCs w:val="22"/>
        </w:rPr>
        <w:t>ii w sprawie podjęcia decyzji o </w:t>
      </w:r>
      <w:r w:rsidRPr="001300A8">
        <w:rPr>
          <w:rFonts w:cs="Calibri Light"/>
          <w:sz w:val="22"/>
          <w:szCs w:val="22"/>
        </w:rPr>
        <w:t>utworzeniu instytucji pomostowej</w:t>
      </w:r>
      <w:r w:rsidR="007F5082">
        <w:rPr>
          <w:rFonts w:cs="Calibri Light"/>
          <w:sz w:val="22"/>
          <w:szCs w:val="22"/>
        </w:rPr>
        <w:t>,</w:t>
      </w:r>
    </w:p>
    <w:p w:rsidR="00AB34FE" w:rsidRPr="001300A8" w:rsidRDefault="00AB34FE" w:rsidP="008004CF">
      <w:pPr>
        <w:pStyle w:val="Akapitzlist"/>
        <w:numPr>
          <w:ilvl w:val="0"/>
          <w:numId w:val="27"/>
        </w:numPr>
        <w:spacing w:before="240" w:after="0"/>
        <w:rPr>
          <w:rFonts w:cs="Calibri Light"/>
          <w:sz w:val="22"/>
          <w:szCs w:val="22"/>
        </w:rPr>
      </w:pPr>
      <w:r w:rsidRPr="001300A8">
        <w:rPr>
          <w:rFonts w:cs="Calibri Light"/>
          <w:sz w:val="22"/>
          <w:szCs w:val="22"/>
        </w:rPr>
        <w:t>w sprawie wniosku do Systemu Ochrony Banków Komercyjnych S.A.</w:t>
      </w:r>
      <w:r w:rsidR="007F5082">
        <w:rPr>
          <w:rFonts w:cs="Calibri Light"/>
          <w:sz w:val="22"/>
          <w:szCs w:val="22"/>
        </w:rPr>
        <w:t>,</w:t>
      </w:r>
    </w:p>
    <w:p w:rsidR="00AB34FE" w:rsidRPr="001300A8" w:rsidRDefault="00AB34FE" w:rsidP="008004CF">
      <w:pPr>
        <w:pStyle w:val="Akapitzlist"/>
        <w:numPr>
          <w:ilvl w:val="0"/>
          <w:numId w:val="27"/>
        </w:numPr>
        <w:spacing w:before="240" w:after="0"/>
        <w:rPr>
          <w:rFonts w:cs="Calibri Light"/>
          <w:sz w:val="22"/>
          <w:szCs w:val="22"/>
        </w:rPr>
      </w:pPr>
      <w:r w:rsidRPr="001300A8">
        <w:rPr>
          <w:rFonts w:cs="Calibri Light"/>
          <w:sz w:val="22"/>
          <w:szCs w:val="22"/>
        </w:rPr>
        <w:t>w sprawie utworzenia instytucji pomostowej, po uzyskaniu pozytywnej opinii Rady Funduszu</w:t>
      </w:r>
      <w:r w:rsidR="007F5082">
        <w:rPr>
          <w:rFonts w:cs="Calibri Light"/>
          <w:sz w:val="22"/>
          <w:szCs w:val="22"/>
        </w:rPr>
        <w:t>,</w:t>
      </w:r>
    </w:p>
    <w:p w:rsidR="00AB34FE" w:rsidRPr="001300A8" w:rsidRDefault="00AB34FE" w:rsidP="008004CF">
      <w:pPr>
        <w:pStyle w:val="Akapitzlist"/>
        <w:numPr>
          <w:ilvl w:val="0"/>
          <w:numId w:val="27"/>
        </w:numPr>
        <w:spacing w:before="240" w:after="0"/>
        <w:rPr>
          <w:rFonts w:cs="Calibri Light"/>
          <w:sz w:val="22"/>
          <w:szCs w:val="22"/>
        </w:rPr>
      </w:pPr>
      <w:r w:rsidRPr="001300A8">
        <w:rPr>
          <w:rFonts w:cs="Calibri Light"/>
          <w:sz w:val="22"/>
          <w:szCs w:val="22"/>
        </w:rPr>
        <w:t>w sprawie akceptacji kandydata na administratora Getin Noble Bank</w:t>
      </w:r>
      <w:r w:rsidR="007F5082">
        <w:rPr>
          <w:rFonts w:cs="Calibri Light"/>
          <w:sz w:val="22"/>
          <w:szCs w:val="22"/>
        </w:rPr>
        <w:t>u</w:t>
      </w:r>
      <w:r w:rsidRPr="001300A8">
        <w:rPr>
          <w:rFonts w:cs="Calibri Light"/>
          <w:sz w:val="22"/>
          <w:szCs w:val="22"/>
        </w:rPr>
        <w:t xml:space="preserve"> S.A.</w:t>
      </w:r>
      <w:r w:rsidR="007F5082">
        <w:rPr>
          <w:rFonts w:cs="Calibri Light"/>
          <w:sz w:val="22"/>
          <w:szCs w:val="22"/>
        </w:rPr>
        <w:t>,</w:t>
      </w:r>
    </w:p>
    <w:p w:rsidR="00AB34FE" w:rsidRPr="001300A8" w:rsidRDefault="00AB34FE" w:rsidP="008004CF">
      <w:pPr>
        <w:pStyle w:val="Akapitzlist"/>
        <w:numPr>
          <w:ilvl w:val="0"/>
          <w:numId w:val="27"/>
        </w:numPr>
        <w:spacing w:before="240" w:after="0"/>
        <w:rPr>
          <w:rFonts w:cs="Calibri Light"/>
          <w:sz w:val="22"/>
          <w:szCs w:val="22"/>
        </w:rPr>
      </w:pPr>
      <w:r w:rsidRPr="001300A8">
        <w:rPr>
          <w:rFonts w:cs="Calibri Light"/>
          <w:sz w:val="22"/>
          <w:szCs w:val="22"/>
        </w:rPr>
        <w:t>w sprawie przyjęcia raportów z oszacowań 1 i 2 sporządzonych p</w:t>
      </w:r>
      <w:r w:rsidR="007F5082">
        <w:rPr>
          <w:rFonts w:cs="Calibri Light"/>
          <w:sz w:val="22"/>
          <w:szCs w:val="22"/>
        </w:rPr>
        <w:t>rzez Deloitte Advisory spółka z </w:t>
      </w:r>
      <w:r w:rsidRPr="001300A8">
        <w:rPr>
          <w:rFonts w:cs="Calibri Light"/>
          <w:sz w:val="22"/>
          <w:szCs w:val="22"/>
        </w:rPr>
        <w:t>ograniczoną odpowiedzialnością sp. k. dotyczących Getin Noble Bank</w:t>
      </w:r>
      <w:r w:rsidR="007F5082">
        <w:rPr>
          <w:rFonts w:cs="Calibri Light"/>
          <w:sz w:val="22"/>
          <w:szCs w:val="22"/>
        </w:rPr>
        <w:t>u</w:t>
      </w:r>
      <w:r w:rsidRPr="001300A8">
        <w:rPr>
          <w:rFonts w:cs="Calibri Light"/>
          <w:sz w:val="22"/>
          <w:szCs w:val="22"/>
        </w:rPr>
        <w:t xml:space="preserve"> S.A.</w:t>
      </w:r>
      <w:r w:rsidR="007F5082">
        <w:rPr>
          <w:rFonts w:cs="Calibri Light"/>
          <w:sz w:val="22"/>
          <w:szCs w:val="22"/>
        </w:rPr>
        <w:t>,</w:t>
      </w:r>
    </w:p>
    <w:p w:rsidR="00AB34FE" w:rsidRPr="001300A8" w:rsidRDefault="00AB34FE" w:rsidP="008004CF">
      <w:pPr>
        <w:pStyle w:val="Akapitzlist"/>
        <w:numPr>
          <w:ilvl w:val="0"/>
          <w:numId w:val="27"/>
        </w:numPr>
        <w:spacing w:before="240" w:after="120"/>
        <w:contextualSpacing w:val="0"/>
        <w:rPr>
          <w:rFonts w:cs="Calibri Light"/>
          <w:sz w:val="22"/>
          <w:szCs w:val="22"/>
        </w:rPr>
      </w:pPr>
      <w:r w:rsidRPr="001300A8">
        <w:rPr>
          <w:rFonts w:cs="Calibri Light"/>
          <w:sz w:val="22"/>
          <w:szCs w:val="22"/>
        </w:rPr>
        <w:t>w sprawie wystąpienia do Ministra Finansów o zgodę na wydanie przez Bankowy Fundusz Gwarancyjny decyzji, która może wywołać bezpośrednie skutki fiskalne lub skutki o charakterze systemowym</w:t>
      </w:r>
      <w:r w:rsidR="007F5082">
        <w:rPr>
          <w:rFonts w:cs="Calibri Light"/>
          <w:sz w:val="22"/>
          <w:szCs w:val="22"/>
        </w:rPr>
        <w:t>,</w:t>
      </w:r>
      <w:r w:rsidRPr="001300A8">
        <w:rPr>
          <w:rFonts w:cs="Calibri Light"/>
          <w:sz w:val="22"/>
          <w:szCs w:val="22"/>
        </w:rPr>
        <w:t xml:space="preserve"> a także zasięgnięcia opinii KNF w zakresie spełnienia przes</w:t>
      </w:r>
      <w:r w:rsidR="007F5082">
        <w:rPr>
          <w:rFonts w:cs="Calibri Light"/>
          <w:sz w:val="22"/>
          <w:szCs w:val="22"/>
        </w:rPr>
        <w:t>łanek, o których mowa w </w:t>
      </w:r>
      <w:r w:rsidRPr="001300A8">
        <w:rPr>
          <w:rFonts w:cs="Calibri Light"/>
          <w:sz w:val="22"/>
          <w:szCs w:val="22"/>
        </w:rPr>
        <w:t xml:space="preserve">art. 101 ust. 7 pkt 1 i 2 ustawy </w:t>
      </w:r>
      <w:r w:rsidR="007F5082">
        <w:rPr>
          <w:rFonts w:cs="Calibri Light"/>
          <w:sz w:val="22"/>
          <w:szCs w:val="22"/>
        </w:rPr>
        <w:t>o BFG.</w:t>
      </w:r>
    </w:p>
    <w:p w:rsidR="00AB34FE" w:rsidRPr="001300A8" w:rsidRDefault="00AB34FE" w:rsidP="007F5082">
      <w:pPr>
        <w:spacing w:after="120"/>
        <w:ind w:firstLine="360"/>
        <w:rPr>
          <w:rFonts w:cs="Calibri Light"/>
          <w:sz w:val="22"/>
          <w:szCs w:val="22"/>
        </w:rPr>
      </w:pPr>
      <w:r w:rsidRPr="001300A8">
        <w:rPr>
          <w:rFonts w:cs="Calibri Light"/>
          <w:sz w:val="22"/>
          <w:szCs w:val="22"/>
        </w:rPr>
        <w:t xml:space="preserve">29 września br., po uzyskaniu pozytywnej opinii Rady Funduszu, Zarząd </w:t>
      </w:r>
      <w:r w:rsidR="00701F85">
        <w:rPr>
          <w:rFonts w:cs="Calibri Light"/>
          <w:sz w:val="22"/>
          <w:szCs w:val="22"/>
        </w:rPr>
        <w:t>BFG podjął uchwałę w </w:t>
      </w:r>
      <w:r w:rsidRPr="001300A8">
        <w:rPr>
          <w:rFonts w:cs="Calibri Light"/>
          <w:sz w:val="22"/>
          <w:szCs w:val="22"/>
        </w:rPr>
        <w:t>przedmiocie wydania decyzji o wszczęciu przymusowej restrukturyzacj</w:t>
      </w:r>
      <w:r w:rsidR="00701F85">
        <w:rPr>
          <w:rFonts w:cs="Calibri Light"/>
          <w:sz w:val="22"/>
          <w:szCs w:val="22"/>
        </w:rPr>
        <w:t>i wobec Getin Noble Bank S.A. z </w:t>
      </w:r>
      <w:r w:rsidRPr="001300A8">
        <w:rPr>
          <w:rFonts w:cs="Calibri Light"/>
          <w:sz w:val="22"/>
          <w:szCs w:val="22"/>
        </w:rPr>
        <w:t>siedzibą w Warszawie, umorzeniu lub konwersji instrumentów kapitałowych lub zobowiązań kwalifikowalnych Banku, zastosowaniu wobec Banku instrumentu przymusowej restrukturyzacji w postaci instytucji pomostowej oraz ustanowieniu w Banku administratora.</w:t>
      </w:r>
    </w:p>
    <w:p w:rsidR="00AB34FE" w:rsidRPr="001300A8" w:rsidRDefault="00AB34FE" w:rsidP="00701F85">
      <w:pPr>
        <w:tabs>
          <w:tab w:val="left" w:pos="4820"/>
        </w:tabs>
        <w:spacing w:after="120"/>
        <w:rPr>
          <w:rFonts w:cs="Calibri Light"/>
          <w:sz w:val="22"/>
          <w:szCs w:val="22"/>
        </w:rPr>
      </w:pPr>
      <w:r w:rsidRPr="001300A8">
        <w:rPr>
          <w:rFonts w:cs="Calibri Light"/>
          <w:sz w:val="22"/>
          <w:szCs w:val="22"/>
        </w:rPr>
        <w:t xml:space="preserve">Rada </w:t>
      </w:r>
      <w:r w:rsidR="00701F85">
        <w:rPr>
          <w:rFonts w:cs="Calibri Light"/>
          <w:sz w:val="22"/>
          <w:szCs w:val="22"/>
        </w:rPr>
        <w:t>BFG</w:t>
      </w:r>
      <w:r w:rsidRPr="001300A8">
        <w:rPr>
          <w:rFonts w:cs="Calibri Light"/>
          <w:sz w:val="22"/>
          <w:szCs w:val="22"/>
        </w:rPr>
        <w:t xml:space="preserve"> wyraziła również pozytywną opinię w sprawie udzielenia wsparcia instytucji pomostowej, do której na po</w:t>
      </w:r>
      <w:r>
        <w:rPr>
          <w:rFonts w:cs="Calibri Light"/>
          <w:sz w:val="22"/>
          <w:szCs w:val="22"/>
        </w:rPr>
        <w:t xml:space="preserve">dstawie decyzji Funduszu na dzień 3 października </w:t>
      </w:r>
      <w:r w:rsidR="00701F85">
        <w:rPr>
          <w:rFonts w:cs="Calibri Light"/>
          <w:sz w:val="22"/>
          <w:szCs w:val="22"/>
        </w:rPr>
        <w:t xml:space="preserve">br. </w:t>
      </w:r>
      <w:r>
        <w:rPr>
          <w:rFonts w:cs="Calibri Light"/>
          <w:sz w:val="22"/>
          <w:szCs w:val="22"/>
        </w:rPr>
        <w:t>zostało zaplanowane przeniesie</w:t>
      </w:r>
      <w:r w:rsidRPr="001300A8">
        <w:rPr>
          <w:rFonts w:cs="Calibri Light"/>
          <w:sz w:val="22"/>
          <w:szCs w:val="22"/>
        </w:rPr>
        <w:t>n</w:t>
      </w:r>
      <w:r>
        <w:rPr>
          <w:rFonts w:cs="Calibri Light"/>
          <w:sz w:val="22"/>
          <w:szCs w:val="22"/>
        </w:rPr>
        <w:t>ie przedsiębiorstwa i zobowiązań</w:t>
      </w:r>
      <w:r w:rsidRPr="001300A8">
        <w:rPr>
          <w:rFonts w:cs="Calibri Light"/>
          <w:sz w:val="22"/>
          <w:szCs w:val="22"/>
        </w:rPr>
        <w:t xml:space="preserve"> Getin Noble Banku S.A., z wyłączeniem wskazanych w w/w decyzji praw majątkowych i zobowiązań Getin Noble Banku S.A</w:t>
      </w:r>
      <w:r w:rsidR="00701F85">
        <w:rPr>
          <w:rFonts w:cs="Calibri Light"/>
          <w:sz w:val="22"/>
          <w:szCs w:val="22"/>
        </w:rPr>
        <w:t>.</w:t>
      </w:r>
      <w:r w:rsidRPr="001300A8">
        <w:rPr>
          <w:rFonts w:cs="Calibri Light"/>
          <w:sz w:val="22"/>
          <w:szCs w:val="22"/>
        </w:rPr>
        <w:t>, w formie:</w:t>
      </w:r>
    </w:p>
    <w:p w:rsidR="00AB34FE" w:rsidRPr="001300A8" w:rsidRDefault="00AB34FE" w:rsidP="008004CF">
      <w:pPr>
        <w:pStyle w:val="Akapitzlist"/>
        <w:numPr>
          <w:ilvl w:val="0"/>
          <w:numId w:val="27"/>
        </w:numPr>
        <w:spacing w:after="0"/>
        <w:ind w:left="714" w:hanging="357"/>
        <w:rPr>
          <w:rFonts w:cs="Calibri Light"/>
          <w:sz w:val="22"/>
          <w:szCs w:val="22"/>
        </w:rPr>
      </w:pPr>
      <w:r w:rsidRPr="001300A8">
        <w:rPr>
          <w:rFonts w:cs="Calibri Light"/>
          <w:sz w:val="22"/>
          <w:szCs w:val="22"/>
        </w:rPr>
        <w:t>gwarancji pokrycia strat, o której mowa w art. 112 ust. 3 pkt 1 ustawy o BFG</w:t>
      </w:r>
      <w:r w:rsidR="00701F85">
        <w:rPr>
          <w:rFonts w:cs="Calibri Light"/>
          <w:sz w:val="22"/>
          <w:szCs w:val="22"/>
        </w:rPr>
        <w:t>,</w:t>
      </w:r>
    </w:p>
    <w:p w:rsidR="00AB34FE" w:rsidRPr="001300A8" w:rsidRDefault="00AB34FE" w:rsidP="008004CF">
      <w:pPr>
        <w:pStyle w:val="Akapitzlist"/>
        <w:numPr>
          <w:ilvl w:val="0"/>
          <w:numId w:val="27"/>
        </w:numPr>
        <w:spacing w:before="240" w:after="0"/>
        <w:rPr>
          <w:rFonts w:cs="Calibri Light"/>
          <w:sz w:val="22"/>
          <w:szCs w:val="22"/>
        </w:rPr>
      </w:pPr>
      <w:r w:rsidRPr="001300A8">
        <w:rPr>
          <w:rFonts w:cs="Calibri Light"/>
          <w:sz w:val="22"/>
          <w:szCs w:val="22"/>
        </w:rPr>
        <w:t>dotacji, o której mowa w art.</w:t>
      </w:r>
      <w:r>
        <w:rPr>
          <w:rFonts w:cs="Calibri Light"/>
          <w:sz w:val="22"/>
          <w:szCs w:val="22"/>
        </w:rPr>
        <w:t xml:space="preserve"> 112 ust. 3 pkt 2 ustawy o BFG</w:t>
      </w:r>
      <w:r w:rsidR="00701F85">
        <w:rPr>
          <w:rFonts w:cs="Calibri Light"/>
          <w:sz w:val="22"/>
          <w:szCs w:val="22"/>
        </w:rPr>
        <w:t>,</w:t>
      </w:r>
    </w:p>
    <w:p w:rsidR="00AB34FE" w:rsidRPr="001300A8" w:rsidRDefault="00AB34FE" w:rsidP="008004CF">
      <w:pPr>
        <w:pStyle w:val="Akapitzlist"/>
        <w:numPr>
          <w:ilvl w:val="0"/>
          <w:numId w:val="27"/>
        </w:numPr>
        <w:spacing w:before="240" w:after="0"/>
        <w:rPr>
          <w:rFonts w:cs="Calibri Light"/>
          <w:sz w:val="22"/>
          <w:szCs w:val="22"/>
        </w:rPr>
      </w:pPr>
      <w:r w:rsidRPr="001300A8">
        <w:rPr>
          <w:rFonts w:cs="Calibri Light"/>
          <w:sz w:val="22"/>
          <w:szCs w:val="22"/>
        </w:rPr>
        <w:t xml:space="preserve">dotacji, o której mowa w art. 188 ust. 5 i 5a ustawy o BFG. </w:t>
      </w:r>
    </w:p>
    <w:p w:rsidR="00AB34FE" w:rsidRPr="001300A8" w:rsidRDefault="00AB34FE" w:rsidP="00701F85">
      <w:pPr>
        <w:pStyle w:val="Akapitzlist"/>
        <w:spacing w:before="120" w:after="120"/>
        <w:ind w:left="0" w:firstLine="360"/>
        <w:contextualSpacing w:val="0"/>
        <w:rPr>
          <w:rFonts w:cs="Calibri Light"/>
          <w:sz w:val="22"/>
          <w:szCs w:val="22"/>
        </w:rPr>
      </w:pPr>
      <w:r w:rsidRPr="001300A8">
        <w:rPr>
          <w:rFonts w:cs="Calibri Light"/>
          <w:sz w:val="22"/>
          <w:szCs w:val="22"/>
        </w:rPr>
        <w:t>Następnie Zarząd podjął uchwałę w sprawie zbycia pakietu 49% akcji instytucji pomostowej Bank BFG S.A. na rzecz Systemu Ochrony Banków Komercyjnych</w:t>
      </w:r>
      <w:r w:rsidR="00701F85">
        <w:rPr>
          <w:rFonts w:cs="Calibri Light"/>
          <w:sz w:val="22"/>
          <w:szCs w:val="22"/>
        </w:rPr>
        <w:t xml:space="preserve"> S.A</w:t>
      </w:r>
      <w:r w:rsidRPr="001300A8">
        <w:rPr>
          <w:rFonts w:cs="Calibri Light"/>
          <w:sz w:val="22"/>
          <w:szCs w:val="22"/>
        </w:rPr>
        <w:t>.</w:t>
      </w:r>
    </w:p>
    <w:p w:rsidR="00AB34FE" w:rsidRPr="001300A8" w:rsidRDefault="00AB34FE" w:rsidP="00701F85">
      <w:pPr>
        <w:spacing w:after="120"/>
        <w:rPr>
          <w:rFonts w:cs="Calibri Light"/>
          <w:sz w:val="22"/>
          <w:szCs w:val="22"/>
        </w:rPr>
      </w:pPr>
      <w:r w:rsidRPr="001300A8">
        <w:rPr>
          <w:rFonts w:cs="Calibri Light"/>
          <w:sz w:val="22"/>
          <w:szCs w:val="22"/>
        </w:rPr>
        <w:t xml:space="preserve">W okresie sprawozdawczym Zarząd Funduszu podjął szereg działań będących następstwem wydania decyzji o wszczęciu przymusowej restrukturyzacji wobec Getin Noble Bank S.A., </w:t>
      </w:r>
      <w:r>
        <w:rPr>
          <w:rFonts w:cs="Calibri Light"/>
          <w:sz w:val="22"/>
          <w:szCs w:val="22"/>
        </w:rPr>
        <w:t xml:space="preserve">w tym </w:t>
      </w:r>
      <w:r w:rsidRPr="001300A8">
        <w:rPr>
          <w:rFonts w:cs="Calibri Light"/>
          <w:sz w:val="22"/>
          <w:szCs w:val="22"/>
        </w:rPr>
        <w:t>m.in.</w:t>
      </w:r>
      <w:r>
        <w:rPr>
          <w:rFonts w:cs="Calibri Light"/>
          <w:sz w:val="22"/>
          <w:szCs w:val="22"/>
        </w:rPr>
        <w:t xml:space="preserve"> następujące uchwały</w:t>
      </w:r>
      <w:r w:rsidRPr="001300A8">
        <w:rPr>
          <w:rFonts w:cs="Calibri Light"/>
          <w:sz w:val="22"/>
          <w:szCs w:val="22"/>
        </w:rPr>
        <w:t>:</w:t>
      </w:r>
    </w:p>
    <w:p w:rsidR="00AB34FE" w:rsidRPr="001300A8" w:rsidRDefault="00AB34FE" w:rsidP="008004CF">
      <w:pPr>
        <w:pStyle w:val="Akapitzlist"/>
        <w:numPr>
          <w:ilvl w:val="0"/>
          <w:numId w:val="27"/>
        </w:numPr>
        <w:spacing w:after="0"/>
        <w:ind w:left="714" w:hanging="357"/>
        <w:rPr>
          <w:rFonts w:cs="Calibri Light"/>
          <w:sz w:val="22"/>
          <w:szCs w:val="22"/>
        </w:rPr>
      </w:pPr>
      <w:r w:rsidRPr="001300A8">
        <w:rPr>
          <w:rFonts w:cs="Calibri Light"/>
          <w:sz w:val="22"/>
          <w:szCs w:val="22"/>
        </w:rPr>
        <w:t>w sprawie wyrażenia Administratorowi Getin Noble Bank S.A. zgody na zawarcie przez Getin Noble Bank S.A. umowy outsourcingowej dotyczącej obsługi portfela kredytowego oraz świadczenia usług informatycznych IT</w:t>
      </w:r>
      <w:r w:rsidR="00701F85">
        <w:rPr>
          <w:rFonts w:cs="Calibri Light"/>
          <w:sz w:val="22"/>
          <w:szCs w:val="22"/>
        </w:rPr>
        <w:t>,</w:t>
      </w:r>
    </w:p>
    <w:p w:rsidR="00AB34FE" w:rsidRPr="001300A8" w:rsidRDefault="00AB34FE" w:rsidP="008004CF">
      <w:pPr>
        <w:pStyle w:val="Akapitzlist"/>
        <w:numPr>
          <w:ilvl w:val="0"/>
          <w:numId w:val="27"/>
        </w:numPr>
        <w:spacing w:after="0"/>
        <w:ind w:left="714" w:hanging="357"/>
        <w:rPr>
          <w:rFonts w:cs="Calibri Light"/>
          <w:sz w:val="22"/>
          <w:szCs w:val="22"/>
        </w:rPr>
      </w:pPr>
      <w:r w:rsidRPr="001300A8">
        <w:rPr>
          <w:rFonts w:cs="Calibri Light"/>
          <w:sz w:val="22"/>
          <w:szCs w:val="22"/>
        </w:rPr>
        <w:t>w sprawie wyrażenia Administratorowi Getin Noble Bank S.A. zgody na odtworzenie pełnomocnictw niezbędnych do funkcjonowania podmiotu w restrukturyzacji</w:t>
      </w:r>
      <w:r w:rsidR="00701F85">
        <w:rPr>
          <w:rFonts w:cs="Calibri Light"/>
          <w:sz w:val="22"/>
          <w:szCs w:val="22"/>
        </w:rPr>
        <w:t>,</w:t>
      </w:r>
    </w:p>
    <w:p w:rsidR="00AB34FE" w:rsidRPr="001300A8" w:rsidRDefault="00AB34FE" w:rsidP="008004CF">
      <w:pPr>
        <w:pStyle w:val="Akapitzlist"/>
        <w:numPr>
          <w:ilvl w:val="0"/>
          <w:numId w:val="27"/>
        </w:numPr>
        <w:spacing w:after="120"/>
        <w:ind w:left="714" w:hanging="357"/>
        <w:contextualSpacing w:val="0"/>
        <w:rPr>
          <w:rFonts w:cs="Calibri Light"/>
          <w:sz w:val="22"/>
          <w:szCs w:val="22"/>
        </w:rPr>
      </w:pPr>
      <w:r w:rsidRPr="001300A8">
        <w:rPr>
          <w:rFonts w:cs="Calibri Light"/>
          <w:sz w:val="22"/>
          <w:szCs w:val="22"/>
        </w:rPr>
        <w:t>w sprawie udzielenia wsparcia instytucji pomostowej w procesie przymusowej restrukturyzacji Getin Noble Banku S.A.</w:t>
      </w:r>
    </w:p>
    <w:p w:rsidR="00AB34FE" w:rsidRPr="001300A8" w:rsidRDefault="00AB34FE" w:rsidP="00AB34FE">
      <w:pPr>
        <w:spacing w:after="120"/>
        <w:ind w:firstLine="360"/>
        <w:rPr>
          <w:rFonts w:cs="Calibri Light"/>
          <w:sz w:val="22"/>
          <w:szCs w:val="22"/>
        </w:rPr>
      </w:pPr>
      <w:r w:rsidRPr="001300A8">
        <w:rPr>
          <w:rFonts w:cs="Calibri Light"/>
          <w:sz w:val="22"/>
          <w:szCs w:val="22"/>
        </w:rPr>
        <w:t xml:space="preserve">Rada i Zarząd </w:t>
      </w:r>
      <w:r>
        <w:rPr>
          <w:rFonts w:cs="Calibri Light"/>
          <w:sz w:val="22"/>
          <w:szCs w:val="22"/>
        </w:rPr>
        <w:t xml:space="preserve">Funduszu </w:t>
      </w:r>
      <w:r w:rsidRPr="001300A8">
        <w:rPr>
          <w:rFonts w:cs="Calibri Light"/>
          <w:sz w:val="22"/>
          <w:szCs w:val="22"/>
        </w:rPr>
        <w:t>były systematycznie informowane o najważniejszych sprawach dotyczących funkcjonowania BFG, w tym o działalności jego przedstawicieli na forum krajowym i międzynarodowym.</w:t>
      </w:r>
    </w:p>
    <w:p w:rsidR="00AB34FE" w:rsidRPr="001300A8" w:rsidRDefault="00AB34FE" w:rsidP="00AB34FE">
      <w:pPr>
        <w:spacing w:after="120"/>
        <w:ind w:firstLine="360"/>
        <w:rPr>
          <w:rFonts w:cs="Calibri Light"/>
          <w:sz w:val="22"/>
          <w:szCs w:val="22"/>
        </w:rPr>
      </w:pPr>
      <w:r w:rsidRPr="001300A8">
        <w:rPr>
          <w:rFonts w:cs="Calibri Light"/>
          <w:sz w:val="22"/>
          <w:szCs w:val="22"/>
        </w:rPr>
        <w:t xml:space="preserve">Rada Funduszu na wniosek Zarządu dokonała zmian w </w:t>
      </w:r>
      <w:r w:rsidRPr="002542A1">
        <w:rPr>
          <w:rFonts w:cs="Calibri Light"/>
          <w:i/>
          <w:sz w:val="22"/>
          <w:szCs w:val="22"/>
        </w:rPr>
        <w:t>Rocznym planie finansowym Bankowego Funduszu Gwarancyjnego na rok 2022</w:t>
      </w:r>
      <w:r w:rsidRPr="001300A8">
        <w:rPr>
          <w:rFonts w:cs="Calibri Light"/>
          <w:sz w:val="22"/>
          <w:szCs w:val="22"/>
        </w:rPr>
        <w:t>.</w:t>
      </w:r>
    </w:p>
    <w:p w:rsidR="00AB34FE" w:rsidRPr="001300A8" w:rsidRDefault="00AB34FE" w:rsidP="00AB34FE">
      <w:pPr>
        <w:spacing w:after="120"/>
        <w:ind w:firstLine="360"/>
        <w:rPr>
          <w:rFonts w:cs="Calibri Light"/>
          <w:sz w:val="22"/>
          <w:szCs w:val="22"/>
        </w:rPr>
      </w:pPr>
      <w:r>
        <w:rPr>
          <w:rFonts w:cs="Calibri Light"/>
          <w:sz w:val="22"/>
          <w:szCs w:val="22"/>
        </w:rPr>
        <w:t>Fundusz we wrześniu 2022 r.</w:t>
      </w:r>
      <w:r w:rsidRPr="001300A8">
        <w:rPr>
          <w:rFonts w:cs="Calibri Light"/>
          <w:sz w:val="22"/>
          <w:szCs w:val="22"/>
        </w:rPr>
        <w:t xml:space="preserve"> uzyskał status uczestnika Krajowego Depozytu Papierów Wartościowych S.A. w typie emitent.</w:t>
      </w:r>
    </w:p>
    <w:p w:rsidR="00AB34FE" w:rsidRPr="001300A8" w:rsidRDefault="00AB34FE" w:rsidP="00AB34FE">
      <w:pPr>
        <w:spacing w:after="120"/>
        <w:rPr>
          <w:rFonts w:cs="Calibri Light"/>
          <w:sz w:val="22"/>
          <w:szCs w:val="22"/>
        </w:rPr>
      </w:pPr>
      <w:r w:rsidRPr="001300A8">
        <w:rPr>
          <w:rFonts w:cs="Calibri Light"/>
          <w:sz w:val="22"/>
          <w:szCs w:val="22"/>
        </w:rPr>
        <w:t>Ponadto organy Funduszu zapoznawały się z cyklicznymi opracowaniami informacyjnymi dotyczącymi: sytuacji w sektorze SKOK, operacji finansowych papierami wartościowymi; pomiaru krótko- i długoterminowej płynności finansowej</w:t>
      </w:r>
      <w:r w:rsidR="002542A1">
        <w:rPr>
          <w:rFonts w:cs="Calibri Light"/>
          <w:sz w:val="22"/>
          <w:szCs w:val="22"/>
        </w:rPr>
        <w:t>,</w:t>
      </w:r>
      <w:r w:rsidRPr="001300A8">
        <w:rPr>
          <w:rFonts w:cs="Calibri Light"/>
          <w:sz w:val="22"/>
          <w:szCs w:val="22"/>
        </w:rPr>
        <w:t xml:space="preserve"> wykorzystania funduszy własnych </w:t>
      </w:r>
      <w:r w:rsidR="002542A1">
        <w:rPr>
          <w:rFonts w:cs="Calibri Light"/>
          <w:sz w:val="22"/>
          <w:szCs w:val="22"/>
        </w:rPr>
        <w:t>BFG</w:t>
      </w:r>
      <w:r w:rsidRPr="001300A8">
        <w:rPr>
          <w:rFonts w:cs="Calibri Light"/>
          <w:sz w:val="22"/>
          <w:szCs w:val="22"/>
        </w:rPr>
        <w:t>, zobowiązaniach do zapłaty oraz funduszu ochrony środków gwarantowanych oraz wysokości wskaźników zabezpieczenia.</w:t>
      </w:r>
    </w:p>
    <w:p w:rsidR="00AB34FE" w:rsidRPr="00F96F14" w:rsidRDefault="00AB34FE" w:rsidP="0028488A">
      <w:pPr>
        <w:autoSpaceDE w:val="0"/>
        <w:autoSpaceDN w:val="0"/>
        <w:adjustRightInd w:val="0"/>
        <w:spacing w:after="120"/>
        <w:rPr>
          <w:rFonts w:cs="Calibri Light"/>
          <w:i/>
          <w:iCs/>
          <w:sz w:val="22"/>
          <w:szCs w:val="22"/>
        </w:rPr>
      </w:pPr>
      <w:r w:rsidRPr="001300A8">
        <w:rPr>
          <w:rFonts w:cs="Calibri Light"/>
          <w:sz w:val="22"/>
          <w:szCs w:val="22"/>
        </w:rPr>
        <w:t xml:space="preserve">Wypełniając obowiązki ustawowe, Rada przyjęła i przekazała Ministrowi Finansów </w:t>
      </w:r>
      <w:r w:rsidR="0028488A" w:rsidRPr="0028488A">
        <w:rPr>
          <w:rFonts w:cs="Calibri Light"/>
          <w:i/>
          <w:iCs/>
          <w:sz w:val="22"/>
          <w:szCs w:val="22"/>
        </w:rPr>
        <w:t>Sprawozdanie z </w:t>
      </w:r>
      <w:r w:rsidRPr="0028488A">
        <w:rPr>
          <w:rFonts w:cs="Calibri Light"/>
          <w:i/>
          <w:iCs/>
          <w:sz w:val="22"/>
          <w:szCs w:val="22"/>
        </w:rPr>
        <w:t>działalności Bankowego Funduszu Gwarancyjnego w II kwartale 2022 roku</w:t>
      </w:r>
      <w:r w:rsidRPr="001300A8">
        <w:rPr>
          <w:rFonts w:cs="Calibri Light"/>
          <w:iCs/>
          <w:sz w:val="22"/>
          <w:szCs w:val="22"/>
        </w:rPr>
        <w:t>.</w:t>
      </w:r>
      <w:r>
        <w:rPr>
          <w:rFonts w:cs="Calibri Light"/>
          <w:i/>
          <w:iCs/>
          <w:sz w:val="22"/>
          <w:szCs w:val="22"/>
        </w:rPr>
        <w:t xml:space="preserve"> </w:t>
      </w:r>
      <w:r w:rsidR="0028488A">
        <w:rPr>
          <w:rFonts w:cs="Calibri Light"/>
          <w:iCs/>
          <w:sz w:val="22"/>
          <w:szCs w:val="22"/>
        </w:rPr>
        <w:t>Rada zapoznała się także z </w:t>
      </w:r>
      <w:r w:rsidRPr="001300A8">
        <w:rPr>
          <w:rFonts w:cs="Calibri Light"/>
          <w:iCs/>
          <w:sz w:val="22"/>
          <w:szCs w:val="22"/>
        </w:rPr>
        <w:t xml:space="preserve">informacją na temat realizacji </w:t>
      </w:r>
      <w:r w:rsidRPr="0028488A">
        <w:rPr>
          <w:rFonts w:cs="Calibri Light"/>
          <w:i/>
          <w:iCs/>
          <w:sz w:val="22"/>
          <w:szCs w:val="22"/>
        </w:rPr>
        <w:t>Planu Finansowego Bankowego Funduszu Gwarancyjnego na rok 2022</w:t>
      </w:r>
      <w:r w:rsidRPr="001300A8">
        <w:rPr>
          <w:rFonts w:cs="Calibri Light"/>
          <w:iCs/>
          <w:sz w:val="22"/>
          <w:szCs w:val="22"/>
        </w:rPr>
        <w:t xml:space="preserve"> według stanu na dzień 30 czerwca 2022 r.</w:t>
      </w:r>
    </w:p>
    <w:p w:rsidR="00FD1099" w:rsidRPr="00DF679D" w:rsidRDefault="00FD1099" w:rsidP="00AB34FE">
      <w:pPr>
        <w:pStyle w:val="Nagwek1"/>
        <w:spacing w:before="200" w:after="0"/>
        <w:rPr>
          <w:rFonts w:cs="Calibri Light"/>
        </w:rPr>
      </w:pPr>
      <w:bookmarkStart w:id="12" w:name="_Toc356844"/>
      <w:bookmarkStart w:id="13" w:name="_Toc530735"/>
      <w:bookmarkStart w:id="14" w:name="_Toc32571598"/>
      <w:bookmarkStart w:id="15" w:name="_Toc34836162"/>
      <w:bookmarkStart w:id="16" w:name="_Toc116304507"/>
      <w:r w:rsidRPr="00DF679D">
        <w:rPr>
          <w:rFonts w:cs="Calibri Light"/>
        </w:rPr>
        <w:t xml:space="preserve">Część </w:t>
      </w:r>
      <w:r w:rsidR="000D7043" w:rsidRPr="00DF679D">
        <w:rPr>
          <w:rFonts w:cs="Calibri Light"/>
        </w:rPr>
        <w:t>1</w:t>
      </w:r>
      <w:r w:rsidRPr="00DF679D">
        <w:rPr>
          <w:rFonts w:cs="Calibri Light"/>
        </w:rPr>
        <w:t>. Gwarantowanie depozytów</w:t>
      </w:r>
      <w:bookmarkEnd w:id="12"/>
      <w:bookmarkEnd w:id="13"/>
      <w:bookmarkEnd w:id="14"/>
      <w:bookmarkEnd w:id="15"/>
      <w:bookmarkEnd w:id="16"/>
    </w:p>
    <w:p w:rsidR="00FD1099" w:rsidRPr="00DF679D" w:rsidRDefault="00FD1099" w:rsidP="008004CF">
      <w:pPr>
        <w:pStyle w:val="Nagwek2"/>
        <w:numPr>
          <w:ilvl w:val="0"/>
          <w:numId w:val="3"/>
        </w:numPr>
        <w:spacing w:before="120" w:after="100" w:line="252" w:lineRule="auto"/>
        <w:ind w:left="357" w:hanging="357"/>
        <w:rPr>
          <w:rFonts w:cs="Calibri Light"/>
        </w:rPr>
      </w:pPr>
      <w:bookmarkStart w:id="17" w:name="_Toc356845"/>
      <w:bookmarkStart w:id="18" w:name="_Toc530736"/>
      <w:bookmarkStart w:id="19" w:name="_Toc32571599"/>
      <w:bookmarkStart w:id="20" w:name="_Toc34836163"/>
      <w:bookmarkStart w:id="21" w:name="_Toc116304508"/>
      <w:bookmarkStart w:id="22" w:name="_Toc165223"/>
      <w:r w:rsidRPr="00DF679D">
        <w:rPr>
          <w:rFonts w:cs="Calibri Light"/>
        </w:rPr>
        <w:t>Działalność gwarancyjna</w:t>
      </w:r>
      <w:bookmarkEnd w:id="17"/>
      <w:bookmarkEnd w:id="18"/>
      <w:bookmarkEnd w:id="19"/>
      <w:bookmarkEnd w:id="20"/>
      <w:bookmarkEnd w:id="21"/>
    </w:p>
    <w:p w:rsidR="00FD1099" w:rsidRDefault="00FD1099" w:rsidP="008004CF">
      <w:pPr>
        <w:pStyle w:val="Nagwek3"/>
        <w:numPr>
          <w:ilvl w:val="1"/>
          <w:numId w:val="3"/>
        </w:numPr>
        <w:ind w:left="357" w:hanging="357"/>
        <w:rPr>
          <w:rFonts w:cs="Calibri Light"/>
          <w:sz w:val="24"/>
        </w:rPr>
      </w:pPr>
      <w:bookmarkStart w:id="23" w:name="_Toc116304509"/>
      <w:bookmarkEnd w:id="22"/>
      <w:r w:rsidRPr="00DF679D">
        <w:rPr>
          <w:rFonts w:cs="Calibri Light"/>
          <w:sz w:val="24"/>
        </w:rPr>
        <w:t>Wypłaty środków gwarantowanych realizowane przez Biuro Funduszu</w:t>
      </w:r>
      <w:bookmarkStart w:id="24" w:name="_Toc260363"/>
      <w:bookmarkStart w:id="25" w:name="_Toc261289"/>
      <w:bookmarkStart w:id="26" w:name="_Toc261364"/>
      <w:bookmarkStart w:id="27" w:name="_Toc265437"/>
      <w:bookmarkStart w:id="28" w:name="_Toc265474"/>
      <w:bookmarkStart w:id="29" w:name="_Toc260224"/>
      <w:bookmarkStart w:id="30" w:name="_Toc260364"/>
      <w:bookmarkStart w:id="31" w:name="_Toc261290"/>
      <w:bookmarkStart w:id="32" w:name="_Toc261365"/>
      <w:bookmarkStart w:id="33" w:name="_Toc265438"/>
      <w:bookmarkStart w:id="34" w:name="_Toc265475"/>
      <w:bookmarkEnd w:id="23"/>
      <w:bookmarkEnd w:id="24"/>
      <w:bookmarkEnd w:id="25"/>
      <w:bookmarkEnd w:id="26"/>
      <w:bookmarkEnd w:id="27"/>
      <w:bookmarkEnd w:id="28"/>
      <w:bookmarkEnd w:id="29"/>
      <w:bookmarkEnd w:id="30"/>
      <w:bookmarkEnd w:id="31"/>
      <w:bookmarkEnd w:id="32"/>
      <w:bookmarkEnd w:id="33"/>
      <w:bookmarkEnd w:id="34"/>
    </w:p>
    <w:p w:rsidR="002765AF" w:rsidRPr="00DD5F35" w:rsidRDefault="002765AF" w:rsidP="00B3203C">
      <w:pPr>
        <w:pStyle w:val="Akapitzlist"/>
        <w:widowControl w:val="0"/>
        <w:spacing w:before="120" w:after="120"/>
        <w:ind w:left="0"/>
        <w:contextualSpacing w:val="0"/>
        <w:rPr>
          <w:rFonts w:eastAsia="Palatino Linotype" w:cs="Calibri Light"/>
          <w:lang w:eastAsia="en-US"/>
        </w:rPr>
      </w:pPr>
      <w:r w:rsidRPr="00DD5F35">
        <w:rPr>
          <w:rFonts w:eastAsia="Palatino Linotype" w:cs="Calibri Light"/>
          <w:lang w:eastAsia="en-US"/>
        </w:rPr>
        <w:t>W okresie sprawozdawczym realizowane były wypłaty środków gwarantowanych dla deponentów 3 banków spółdzielczych oraz 11 kas, wobec których to podmiotów spełnienie warunku gwarancji nastąpiło w latach 2014–2019.</w:t>
      </w:r>
    </w:p>
    <w:p w:rsidR="002765AF" w:rsidRDefault="002765AF" w:rsidP="00B3203C">
      <w:pPr>
        <w:pStyle w:val="Akapitzlist"/>
        <w:widowControl w:val="0"/>
        <w:spacing w:before="120" w:after="120"/>
        <w:ind w:left="0"/>
        <w:contextualSpacing w:val="0"/>
        <w:rPr>
          <w:rFonts w:eastAsia="Palatino Linotype" w:cs="Calibri Light"/>
          <w:lang w:eastAsia="en-US"/>
        </w:rPr>
      </w:pPr>
      <w:r w:rsidRPr="00DD5F35">
        <w:rPr>
          <w:rFonts w:cs="Calibri Light"/>
          <w:lang w:eastAsia="en-US"/>
        </w:rPr>
        <w:t>W III kwartale 2022 r. wypłaty środków gwarantowanych były realizowane wyłącznie bezpośrednio przez Fundusz i dotyczyły deponentów, którzy nie odebrali należnych im środków w trakcie wypłat realizowanych za pośrednictwem banków-agentów</w:t>
      </w:r>
      <w:r w:rsidRPr="00DD5F35">
        <w:rPr>
          <w:rFonts w:eastAsia="Palatino Linotype"/>
          <w:vertAlign w:val="superscript"/>
          <w:lang w:eastAsia="en-US"/>
        </w:rPr>
        <w:footnoteReference w:id="2"/>
      </w:r>
      <w:r w:rsidRPr="00DD5F35">
        <w:rPr>
          <w:rFonts w:cs="Calibri Light"/>
          <w:lang w:eastAsia="en-US"/>
        </w:rPr>
        <w:t xml:space="preserve">. </w:t>
      </w:r>
      <w:r w:rsidRPr="00DD5F35">
        <w:rPr>
          <w:rFonts w:eastAsia="Palatino Linotype" w:cs="Calibri Light"/>
          <w:lang w:eastAsia="en-US"/>
        </w:rPr>
        <w:t xml:space="preserve">W okresie tym </w:t>
      </w:r>
      <w:r w:rsidRPr="00760DA5">
        <w:rPr>
          <w:rFonts w:eastAsia="Palatino Linotype" w:cs="Calibri Light"/>
          <w:lang w:eastAsia="en-US"/>
        </w:rPr>
        <w:t xml:space="preserve">zrealizowano wypłaty środków gwarantowanych dla </w:t>
      </w:r>
      <w:r w:rsidRPr="00550FD7">
        <w:rPr>
          <w:rFonts w:eastAsia="Palatino Linotype" w:cs="Calibri Light"/>
          <w:lang w:eastAsia="en-US"/>
        </w:rPr>
        <w:t>33</w:t>
      </w:r>
      <w:r w:rsidRPr="00760DA5">
        <w:rPr>
          <w:rFonts w:eastAsia="Palatino Linotype" w:cs="Calibri Light"/>
          <w:lang w:eastAsia="en-US"/>
        </w:rPr>
        <w:t xml:space="preserve"> deponentów kas na łączną kwotę </w:t>
      </w:r>
      <w:r w:rsidRPr="00550FD7">
        <w:rPr>
          <w:rFonts w:eastAsia="Palatino Linotype" w:cs="Calibri Light"/>
          <w:lang w:eastAsia="en-US"/>
        </w:rPr>
        <w:t>825,3 </w:t>
      </w:r>
      <w:r w:rsidRPr="00760DA5">
        <w:rPr>
          <w:rFonts w:eastAsia="Palatino Linotype" w:cs="Calibri Light"/>
          <w:lang w:eastAsia="en-US"/>
        </w:rPr>
        <w:t>tys. zł.</w:t>
      </w:r>
    </w:p>
    <w:p w:rsidR="002765AF" w:rsidRDefault="002765AF" w:rsidP="00B3203C">
      <w:pPr>
        <w:pStyle w:val="Akapitzlist"/>
        <w:keepNext/>
        <w:spacing w:before="120" w:after="120"/>
        <w:ind w:left="0"/>
        <w:contextualSpacing w:val="0"/>
        <w:outlineLvl w:val="3"/>
        <w:rPr>
          <w:rFonts w:eastAsia="Times New Roman" w:cs="Calibri Light"/>
          <w:bCs/>
          <w:i/>
          <w:szCs w:val="28"/>
          <w:u w:val="single"/>
        </w:rPr>
      </w:pPr>
      <w:r w:rsidRPr="00DD5F35">
        <w:rPr>
          <w:rFonts w:eastAsia="Times New Roman" w:cs="Calibri Light"/>
          <w:bCs/>
          <w:i/>
          <w:szCs w:val="28"/>
          <w:u w:val="single"/>
        </w:rPr>
        <w:t>Wypłaty środków w wysokości przekraczającej limit 100 tys. euro</w:t>
      </w:r>
    </w:p>
    <w:p w:rsidR="002765AF" w:rsidRPr="00DD5F35" w:rsidRDefault="002765AF" w:rsidP="00B3203C">
      <w:pPr>
        <w:pStyle w:val="Akapitzlist"/>
        <w:widowControl w:val="0"/>
        <w:spacing w:before="120" w:after="120"/>
        <w:ind w:left="0"/>
        <w:contextualSpacing w:val="0"/>
        <w:rPr>
          <w:rFonts w:eastAsia="Times New Roman" w:cs="Calibri Light"/>
        </w:rPr>
      </w:pPr>
      <w:r w:rsidRPr="00DD5F35">
        <w:rPr>
          <w:rFonts w:eastAsia="Times New Roman" w:cs="Calibri Light"/>
        </w:rPr>
        <w:t xml:space="preserve">W </w:t>
      </w:r>
      <w:r w:rsidRPr="002765AF">
        <w:rPr>
          <w:rFonts w:cs="Calibri Light"/>
          <w:lang w:eastAsia="en-US"/>
        </w:rPr>
        <w:t>okresie</w:t>
      </w:r>
      <w:r w:rsidRPr="00DD5F35">
        <w:rPr>
          <w:rFonts w:eastAsia="Times New Roman" w:cs="Calibri Light"/>
        </w:rPr>
        <w:t xml:space="preserve"> sprawozdawczym </w:t>
      </w:r>
      <w:r w:rsidRPr="00A91B5C">
        <w:rPr>
          <w:rFonts w:eastAsia="Times New Roman" w:cs="Calibri Light"/>
        </w:rPr>
        <w:t>żaden</w:t>
      </w:r>
      <w:r w:rsidRPr="00DD5F35">
        <w:rPr>
          <w:rFonts w:eastAsia="Times New Roman" w:cs="Calibri Light"/>
        </w:rPr>
        <w:t xml:space="preserve"> deponent nie zgłosił roszczeń ponad limit równowartości w złotych 100 tys. euro</w:t>
      </w:r>
      <w:r w:rsidRPr="00AC0239">
        <w:rPr>
          <w:vertAlign w:val="superscript"/>
          <w:lang w:eastAsia="en-US"/>
        </w:rPr>
        <w:footnoteReference w:id="3"/>
      </w:r>
      <w:r w:rsidRPr="00DD5F35">
        <w:rPr>
          <w:rFonts w:eastAsia="Times New Roman" w:cs="Calibri Light"/>
        </w:rPr>
        <w:t>.</w:t>
      </w:r>
      <w:r>
        <w:rPr>
          <w:rFonts w:eastAsia="Times New Roman" w:cs="Calibri Light"/>
        </w:rPr>
        <w:t xml:space="preserve"> </w:t>
      </w:r>
    </w:p>
    <w:p w:rsidR="000D7043" w:rsidRDefault="000D7043" w:rsidP="008004CF">
      <w:pPr>
        <w:pStyle w:val="Nagwek3"/>
        <w:numPr>
          <w:ilvl w:val="1"/>
          <w:numId w:val="3"/>
        </w:numPr>
        <w:ind w:left="357" w:hanging="357"/>
        <w:rPr>
          <w:rFonts w:cs="Calibri Light"/>
          <w:sz w:val="24"/>
        </w:rPr>
      </w:pPr>
      <w:bookmarkStart w:id="35" w:name="_Toc116304510"/>
      <w:r w:rsidRPr="00DF679D">
        <w:rPr>
          <w:rFonts w:cs="Calibri Light"/>
          <w:sz w:val="24"/>
        </w:rPr>
        <w:t>Stan wypłat dla deponentów</w:t>
      </w:r>
      <w:bookmarkEnd w:id="35"/>
    </w:p>
    <w:p w:rsidR="00F62E47" w:rsidRDefault="00F62E47" w:rsidP="00067AC1">
      <w:pPr>
        <w:pStyle w:val="Akapitzlist"/>
        <w:keepNext/>
        <w:spacing w:before="120" w:after="120"/>
        <w:ind w:left="0"/>
        <w:contextualSpacing w:val="0"/>
        <w:outlineLvl w:val="3"/>
        <w:rPr>
          <w:rFonts w:eastAsia="Palatino Linotype" w:cs="Calibri Light"/>
          <w:lang w:eastAsia="en-US"/>
        </w:rPr>
      </w:pPr>
      <w:r w:rsidRPr="00F62E47">
        <w:rPr>
          <w:rFonts w:eastAsia="Times New Roman" w:cs="Calibri Light"/>
          <w:bCs/>
          <w:i/>
          <w:szCs w:val="28"/>
          <w:u w:val="single"/>
        </w:rPr>
        <w:t>Stan</w:t>
      </w:r>
      <w:r w:rsidRPr="0066293F">
        <w:rPr>
          <w:rFonts w:eastAsia="Palatino Linotype" w:cs="Calibri Light"/>
          <w:bCs/>
          <w:i/>
          <w:u w:val="single"/>
          <w:lang w:eastAsia="en-US"/>
        </w:rPr>
        <w:t xml:space="preserve"> wypłat dla deponentów banków</w:t>
      </w:r>
    </w:p>
    <w:p w:rsidR="00F62E47" w:rsidRPr="005F2A01" w:rsidRDefault="00F62E47" w:rsidP="00B3203C">
      <w:pPr>
        <w:pStyle w:val="Akapitzlist"/>
        <w:widowControl w:val="0"/>
        <w:spacing w:before="120" w:after="120"/>
        <w:ind w:left="0"/>
        <w:rPr>
          <w:rFonts w:eastAsia="Palatino Linotype" w:cs="Calibri Light"/>
          <w:lang w:eastAsia="en-US"/>
        </w:rPr>
      </w:pPr>
      <w:r w:rsidRPr="005F2A01">
        <w:rPr>
          <w:rFonts w:eastAsia="Palatino Linotype" w:cs="Calibri Light"/>
          <w:lang w:eastAsia="en-US"/>
        </w:rPr>
        <w:t xml:space="preserve">W </w:t>
      </w:r>
      <w:r w:rsidRPr="005F2A01">
        <w:rPr>
          <w:rFonts w:eastAsia="Times New Roman" w:cs="Calibri Light"/>
        </w:rPr>
        <w:t>poniższej</w:t>
      </w:r>
      <w:r w:rsidRPr="005F2A01">
        <w:rPr>
          <w:rFonts w:eastAsia="Palatino Linotype" w:cs="Calibri Light"/>
          <w:lang w:eastAsia="en-US"/>
        </w:rPr>
        <w:t xml:space="preserve"> tabeli przedstawiono informacje dotyczące wszystkich zrealizowanych wypłat dla deponentów banków (łącznie z wypłatami dokonanymi za pośrednictwem banków-agentów).</w:t>
      </w:r>
    </w:p>
    <w:p w:rsidR="00F62E47" w:rsidRPr="005F2A01" w:rsidRDefault="00F62E47" w:rsidP="00F62E47">
      <w:pPr>
        <w:spacing w:after="60"/>
        <w:ind w:firstLine="0"/>
        <w:jc w:val="left"/>
        <w:rPr>
          <w:rFonts w:eastAsia="Times New Roman" w:cs="Calibri Light"/>
          <w:b/>
          <w:sz w:val="22"/>
          <w:szCs w:val="22"/>
        </w:rPr>
      </w:pPr>
      <w:r w:rsidRPr="005F2A01">
        <w:rPr>
          <w:rFonts w:eastAsia="Times New Roman" w:cs="Calibri Light"/>
          <w:b/>
          <w:sz w:val="22"/>
          <w:szCs w:val="22"/>
        </w:rPr>
        <w:t>Tabela 1. Zrealizowane wypłaty środków gwarantowanych dla deponentów banków</w:t>
      </w:r>
    </w:p>
    <w:tbl>
      <w:tblPr>
        <w:tblStyle w:val="Jasnalistaakcent113"/>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992"/>
        <w:gridCol w:w="709"/>
        <w:gridCol w:w="709"/>
        <w:gridCol w:w="1134"/>
        <w:gridCol w:w="850"/>
        <w:gridCol w:w="709"/>
        <w:gridCol w:w="850"/>
        <w:gridCol w:w="851"/>
      </w:tblGrid>
      <w:tr w:rsidR="00F62E47" w:rsidRPr="00E1751B" w:rsidTr="00F62E47">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365F91" w:themeFill="accent1" w:themeFillShade="BF"/>
            <w:vAlign w:val="center"/>
            <w:hideMark/>
          </w:tcPr>
          <w:p w:rsidR="00F62E47" w:rsidRPr="00AC0239" w:rsidRDefault="00F62E47" w:rsidP="00F62E47">
            <w:pPr>
              <w:widowControl w:val="0"/>
              <w:spacing w:after="0"/>
              <w:ind w:firstLine="0"/>
              <w:jc w:val="center"/>
              <w:rPr>
                <w:rFonts w:eastAsia="Palatino Linotype" w:cs="Calibri Light"/>
                <w:bCs w:val="0"/>
                <w:sz w:val="18"/>
                <w:szCs w:val="18"/>
                <w:lang w:eastAsia="en-US"/>
              </w:rPr>
            </w:pPr>
            <w:r w:rsidRPr="00AC0239">
              <w:rPr>
                <w:rFonts w:eastAsia="Palatino Linotype" w:cs="Calibri Light"/>
                <w:bCs w:val="0"/>
                <w:sz w:val="18"/>
                <w:szCs w:val="18"/>
                <w:lang w:eastAsia="en-US"/>
              </w:rPr>
              <w:t>Nazwa Banku</w:t>
            </w:r>
          </w:p>
        </w:tc>
        <w:tc>
          <w:tcPr>
            <w:tcW w:w="1843" w:type="dxa"/>
            <w:gridSpan w:val="2"/>
            <w:shd w:val="clear" w:color="auto" w:fill="365F91" w:themeFill="accent1" w:themeFillShade="BF"/>
            <w:vAlign w:val="center"/>
          </w:tcPr>
          <w:p w:rsidR="00F62E47" w:rsidRPr="005115FC"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sz w:val="18"/>
                <w:szCs w:val="18"/>
                <w:lang w:eastAsia="en-US"/>
              </w:rPr>
            </w:pPr>
            <w:r w:rsidRPr="005115FC">
              <w:rPr>
                <w:rFonts w:eastAsia="Palatino Linotype" w:cs="Calibri Light"/>
                <w:bCs w:val="0"/>
                <w:sz w:val="18"/>
                <w:szCs w:val="18"/>
                <w:lang w:eastAsia="en-US"/>
              </w:rPr>
              <w:t>Wypłaty zrealizowane</w:t>
            </w:r>
          </w:p>
          <w:p w:rsidR="00F62E47" w:rsidRPr="005115FC"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sz w:val="18"/>
                <w:szCs w:val="18"/>
                <w:lang w:eastAsia="en-US"/>
              </w:rPr>
            </w:pPr>
            <w:r w:rsidRPr="005115FC">
              <w:rPr>
                <w:rFonts w:eastAsia="Palatino Linotype" w:cs="Calibri Light"/>
                <w:bCs w:val="0"/>
                <w:sz w:val="18"/>
                <w:szCs w:val="18"/>
                <w:lang w:eastAsia="en-US"/>
              </w:rPr>
              <w:t>w I</w:t>
            </w:r>
            <w:r>
              <w:rPr>
                <w:rFonts w:eastAsia="Palatino Linotype" w:cs="Calibri Light"/>
                <w:bCs w:val="0"/>
                <w:sz w:val="18"/>
                <w:szCs w:val="18"/>
                <w:lang w:eastAsia="en-US"/>
              </w:rPr>
              <w:t>II</w:t>
            </w:r>
            <w:r w:rsidRPr="005115FC">
              <w:rPr>
                <w:rFonts w:eastAsia="Palatino Linotype" w:cs="Calibri Light"/>
                <w:bCs w:val="0"/>
                <w:sz w:val="18"/>
                <w:szCs w:val="18"/>
                <w:lang w:eastAsia="en-US"/>
              </w:rPr>
              <w:t xml:space="preserve"> kwartale 202</w:t>
            </w:r>
            <w:r>
              <w:rPr>
                <w:rFonts w:eastAsia="Palatino Linotype" w:cs="Calibri Light"/>
                <w:bCs w:val="0"/>
                <w:sz w:val="18"/>
                <w:szCs w:val="18"/>
                <w:lang w:eastAsia="en-US"/>
              </w:rPr>
              <w:t>2</w:t>
            </w:r>
            <w:r w:rsidRPr="005115FC">
              <w:rPr>
                <w:rFonts w:eastAsia="Palatino Linotype" w:cs="Calibri Light"/>
                <w:bCs w:val="0"/>
                <w:sz w:val="18"/>
                <w:szCs w:val="18"/>
                <w:lang w:eastAsia="en-US"/>
              </w:rPr>
              <w:t xml:space="preserve"> r.</w:t>
            </w:r>
          </w:p>
          <w:p w:rsidR="00F62E47" w:rsidRPr="005115FC" w:rsidRDefault="00F62E47" w:rsidP="00F62E47">
            <w:pPr>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themeColor="background1"/>
                <w:sz w:val="18"/>
                <w:szCs w:val="18"/>
                <w:lang w:eastAsia="en-US"/>
              </w:rPr>
            </w:pPr>
            <w:r w:rsidRPr="005115FC">
              <w:rPr>
                <w:rFonts w:eastAsia="Palatino Linotype" w:cs="Calibri Light"/>
                <w:bCs w:val="0"/>
                <w:sz w:val="18"/>
                <w:szCs w:val="18"/>
                <w:lang w:eastAsia="en-US"/>
              </w:rPr>
              <w:t>(kwota w tys. zł)</w:t>
            </w:r>
          </w:p>
        </w:tc>
        <w:tc>
          <w:tcPr>
            <w:tcW w:w="4111" w:type="dxa"/>
            <w:gridSpan w:val="5"/>
            <w:shd w:val="clear" w:color="auto" w:fill="365F91" w:themeFill="accent1" w:themeFillShade="BF"/>
            <w:vAlign w:val="center"/>
          </w:tcPr>
          <w:p w:rsidR="00F62E47" w:rsidRPr="005115FC"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sz w:val="18"/>
                <w:szCs w:val="18"/>
                <w:lang w:eastAsia="en-US"/>
              </w:rPr>
            </w:pPr>
            <w:r w:rsidRPr="005115FC">
              <w:rPr>
                <w:rFonts w:eastAsia="Palatino Linotype" w:cs="Calibri Light"/>
                <w:bCs w:val="0"/>
                <w:sz w:val="18"/>
                <w:szCs w:val="18"/>
                <w:lang w:eastAsia="en-US"/>
              </w:rPr>
              <w:t>Wypłaty zrealizowane od dnia rozpoczęcia wypłat</w:t>
            </w:r>
          </w:p>
          <w:p w:rsidR="00F62E47" w:rsidRPr="005115FC"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sz w:val="18"/>
                <w:szCs w:val="18"/>
                <w:lang w:eastAsia="en-US"/>
              </w:rPr>
            </w:pPr>
            <w:r>
              <w:rPr>
                <w:rFonts w:eastAsia="Palatino Linotype" w:cs="Calibri Light"/>
                <w:bCs w:val="0"/>
                <w:sz w:val="18"/>
                <w:szCs w:val="18"/>
                <w:lang w:eastAsia="en-US"/>
              </w:rPr>
              <w:t>do 30.09</w:t>
            </w:r>
            <w:r w:rsidRPr="005115FC">
              <w:rPr>
                <w:rFonts w:eastAsia="Palatino Linotype" w:cs="Calibri Light"/>
                <w:bCs w:val="0"/>
                <w:sz w:val="18"/>
                <w:szCs w:val="18"/>
                <w:lang w:eastAsia="en-US"/>
              </w:rPr>
              <w:t>.202</w:t>
            </w:r>
            <w:r>
              <w:rPr>
                <w:rFonts w:eastAsia="Palatino Linotype" w:cs="Calibri Light"/>
                <w:bCs w:val="0"/>
                <w:sz w:val="18"/>
                <w:szCs w:val="18"/>
                <w:lang w:eastAsia="en-US"/>
              </w:rPr>
              <w:t>2</w:t>
            </w:r>
            <w:r w:rsidRPr="005115FC">
              <w:rPr>
                <w:rFonts w:eastAsia="Palatino Linotype" w:cs="Calibri Light"/>
                <w:bCs w:val="0"/>
                <w:sz w:val="18"/>
                <w:szCs w:val="18"/>
                <w:lang w:eastAsia="en-US"/>
              </w:rPr>
              <w:t xml:space="preserve"> r.</w:t>
            </w:r>
          </w:p>
          <w:p w:rsidR="00F62E47" w:rsidRPr="005115FC" w:rsidRDefault="00F62E47" w:rsidP="00F62E47">
            <w:pPr>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themeColor="background1"/>
                <w:sz w:val="18"/>
                <w:szCs w:val="18"/>
                <w:lang w:eastAsia="en-US"/>
              </w:rPr>
            </w:pPr>
            <w:r w:rsidRPr="005115FC">
              <w:rPr>
                <w:rFonts w:eastAsia="Palatino Linotype" w:cs="Calibri Light"/>
                <w:bCs w:val="0"/>
                <w:sz w:val="18"/>
                <w:szCs w:val="18"/>
                <w:lang w:eastAsia="en-US"/>
              </w:rPr>
              <w:t>(kwota w tys. zł)</w:t>
            </w:r>
          </w:p>
        </w:tc>
        <w:tc>
          <w:tcPr>
            <w:tcW w:w="1701" w:type="dxa"/>
            <w:gridSpan w:val="2"/>
            <w:shd w:val="clear" w:color="auto" w:fill="365F91" w:themeFill="accent1" w:themeFillShade="BF"/>
            <w:vAlign w:val="center"/>
          </w:tcPr>
          <w:p w:rsidR="00F62E47" w:rsidRPr="005115FC"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sz w:val="18"/>
                <w:szCs w:val="18"/>
                <w:lang w:eastAsia="en-US"/>
              </w:rPr>
            </w:pPr>
            <w:r>
              <w:rPr>
                <w:rFonts w:eastAsia="Palatino Linotype" w:cs="Calibri Light"/>
                <w:bCs w:val="0"/>
                <w:sz w:val="18"/>
                <w:szCs w:val="18"/>
                <w:lang w:eastAsia="en-US"/>
              </w:rPr>
              <w:t xml:space="preserve">Zobowiązania Funduszu </w:t>
            </w:r>
            <w:r>
              <w:rPr>
                <w:rFonts w:eastAsia="Palatino Linotype" w:cs="Calibri Light"/>
                <w:bCs w:val="0"/>
                <w:sz w:val="18"/>
                <w:szCs w:val="18"/>
                <w:lang w:eastAsia="en-US"/>
              </w:rPr>
              <w:br/>
              <w:t>na 30.09.2022</w:t>
            </w:r>
            <w:r w:rsidRPr="005115FC">
              <w:rPr>
                <w:rFonts w:eastAsia="Palatino Linotype" w:cs="Calibri Light"/>
                <w:bCs w:val="0"/>
                <w:sz w:val="18"/>
                <w:szCs w:val="18"/>
                <w:lang w:eastAsia="en-US"/>
              </w:rPr>
              <w:t xml:space="preserve"> r.</w:t>
            </w:r>
          </w:p>
          <w:p w:rsidR="00F62E47" w:rsidRPr="005115FC" w:rsidRDefault="00F62E47" w:rsidP="00F62E47">
            <w:pPr>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themeColor="background1"/>
                <w:sz w:val="18"/>
                <w:szCs w:val="18"/>
                <w:lang w:eastAsia="en-US"/>
              </w:rPr>
            </w:pPr>
            <w:r w:rsidRPr="005115FC">
              <w:rPr>
                <w:rFonts w:eastAsia="Palatino Linotype" w:cs="Calibri Light"/>
                <w:bCs w:val="0"/>
                <w:sz w:val="18"/>
                <w:szCs w:val="18"/>
                <w:lang w:eastAsia="en-US"/>
              </w:rPr>
              <w:t>(kwota w tys. zł)</w:t>
            </w:r>
          </w:p>
        </w:tc>
      </w:tr>
      <w:tr w:rsidR="00F62E47" w:rsidRPr="00E1751B" w:rsidTr="00F62E47">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tcBorders>
            <w:shd w:val="clear" w:color="auto" w:fill="365F91" w:themeFill="accent1" w:themeFillShade="BF"/>
            <w:hideMark/>
          </w:tcPr>
          <w:p w:rsidR="00F62E47" w:rsidRPr="00AC0239" w:rsidRDefault="00F62E47" w:rsidP="00F62E47">
            <w:pPr>
              <w:spacing w:after="0"/>
              <w:ind w:firstLine="0"/>
              <w:jc w:val="center"/>
              <w:rPr>
                <w:rFonts w:eastAsia="Palatino Linotype" w:cs="Calibri Light"/>
                <w:bCs w:val="0"/>
                <w:color w:val="FFFFFF" w:themeColor="background1"/>
                <w:sz w:val="18"/>
                <w:szCs w:val="18"/>
                <w:lang w:eastAsia="en-US"/>
              </w:rPr>
            </w:pPr>
          </w:p>
        </w:tc>
        <w:tc>
          <w:tcPr>
            <w:tcW w:w="851" w:type="dxa"/>
            <w:vMerge w:val="restart"/>
            <w:tcBorders>
              <w:top w:val="single" w:sz="4" w:space="0" w:color="auto"/>
            </w:tcBorders>
            <w:shd w:val="clear" w:color="auto" w:fill="DBE5F1" w:themeFill="accent1" w:themeFillTint="33"/>
            <w:textDirection w:val="btLr"/>
            <w:vAlign w:val="center"/>
          </w:tcPr>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sz w:val="18"/>
                <w:szCs w:val="18"/>
                <w:lang w:eastAsia="en-US"/>
              </w:rPr>
            </w:pPr>
            <w:r w:rsidRPr="005115FC">
              <w:rPr>
                <w:rFonts w:eastAsia="Palatino Linotype" w:cs="Calibri Light"/>
                <w:sz w:val="18"/>
                <w:szCs w:val="18"/>
                <w:lang w:eastAsia="en-US"/>
              </w:rPr>
              <w:t>Liczba</w:t>
            </w:r>
          </w:p>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bCs/>
                <w:sz w:val="18"/>
                <w:szCs w:val="18"/>
                <w:lang w:eastAsia="en-US"/>
              </w:rPr>
            </w:pPr>
            <w:r w:rsidRPr="005115FC">
              <w:rPr>
                <w:rFonts w:eastAsia="Palatino Linotype" w:cs="Calibri Light"/>
                <w:sz w:val="18"/>
                <w:szCs w:val="18"/>
                <w:lang w:eastAsia="en-US"/>
              </w:rPr>
              <w:t>deponentów</w:t>
            </w:r>
          </w:p>
        </w:tc>
        <w:tc>
          <w:tcPr>
            <w:tcW w:w="992" w:type="dxa"/>
            <w:vMerge w:val="restart"/>
            <w:tcBorders>
              <w:top w:val="single" w:sz="4" w:space="0" w:color="auto"/>
            </w:tcBorders>
            <w:shd w:val="clear" w:color="auto" w:fill="DBE5F1" w:themeFill="accent1" w:themeFillTint="33"/>
            <w:textDirection w:val="btLr"/>
            <w:vAlign w:val="center"/>
          </w:tcPr>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sz w:val="18"/>
                <w:szCs w:val="18"/>
                <w:lang w:eastAsia="en-US"/>
              </w:rPr>
            </w:pPr>
            <w:r w:rsidRPr="005115FC">
              <w:rPr>
                <w:rFonts w:eastAsia="Palatino Linotype" w:cs="Calibri Light"/>
                <w:sz w:val="18"/>
                <w:szCs w:val="18"/>
                <w:lang w:eastAsia="en-US"/>
              </w:rPr>
              <w:t>Kwota wypłat</w:t>
            </w:r>
          </w:p>
        </w:tc>
        <w:tc>
          <w:tcPr>
            <w:tcW w:w="1418" w:type="dxa"/>
            <w:gridSpan w:val="2"/>
            <w:tcBorders>
              <w:top w:val="single" w:sz="4" w:space="0" w:color="auto"/>
              <w:bottom w:val="single" w:sz="4" w:space="0" w:color="auto"/>
            </w:tcBorders>
            <w:shd w:val="clear" w:color="auto" w:fill="DBE5F1" w:themeFill="accent1" w:themeFillTint="33"/>
            <w:vAlign w:val="center"/>
          </w:tcPr>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bCs/>
                <w:sz w:val="18"/>
                <w:szCs w:val="18"/>
                <w:lang w:eastAsia="en-US"/>
              </w:rPr>
            </w:pPr>
            <w:r w:rsidRPr="005115FC">
              <w:rPr>
                <w:rFonts w:eastAsia="Palatino Linotype" w:cs="Calibri Light"/>
                <w:sz w:val="18"/>
                <w:szCs w:val="18"/>
                <w:lang w:eastAsia="en-US"/>
              </w:rPr>
              <w:t>Liczba deponentów</w:t>
            </w:r>
          </w:p>
        </w:tc>
        <w:tc>
          <w:tcPr>
            <w:tcW w:w="1984" w:type="dxa"/>
            <w:gridSpan w:val="2"/>
            <w:tcBorders>
              <w:top w:val="single" w:sz="4" w:space="0" w:color="auto"/>
              <w:bottom w:val="single" w:sz="4" w:space="0" w:color="auto"/>
            </w:tcBorders>
            <w:shd w:val="clear" w:color="auto" w:fill="DBE5F1" w:themeFill="accent1" w:themeFillTint="33"/>
            <w:vAlign w:val="center"/>
          </w:tcPr>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bCs/>
                <w:sz w:val="18"/>
                <w:szCs w:val="18"/>
                <w:lang w:eastAsia="en-US"/>
              </w:rPr>
            </w:pPr>
            <w:r w:rsidRPr="005115FC">
              <w:rPr>
                <w:rFonts w:eastAsia="Palatino Linotype" w:cs="Calibri Light"/>
                <w:sz w:val="18"/>
                <w:szCs w:val="18"/>
                <w:lang w:eastAsia="en-US"/>
              </w:rPr>
              <w:t>Kwota wypłaty</w:t>
            </w:r>
          </w:p>
        </w:tc>
        <w:tc>
          <w:tcPr>
            <w:tcW w:w="709" w:type="dxa"/>
            <w:vMerge w:val="restart"/>
            <w:tcBorders>
              <w:top w:val="single" w:sz="4" w:space="0" w:color="auto"/>
            </w:tcBorders>
            <w:shd w:val="clear" w:color="auto" w:fill="DBE5F1" w:themeFill="accent1" w:themeFillTint="33"/>
            <w:textDirection w:val="btLr"/>
            <w:vAlign w:val="center"/>
          </w:tcPr>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sz w:val="18"/>
                <w:szCs w:val="18"/>
                <w:lang w:eastAsia="en-US"/>
              </w:rPr>
            </w:pPr>
            <w:r w:rsidRPr="005115FC">
              <w:rPr>
                <w:rFonts w:eastAsia="Palatino Linotype" w:cs="Calibri Light"/>
                <w:sz w:val="18"/>
                <w:szCs w:val="18"/>
                <w:lang w:eastAsia="en-US"/>
              </w:rPr>
              <w:t>Zaawansowanie</w:t>
            </w:r>
          </w:p>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bCs/>
                <w:sz w:val="18"/>
                <w:szCs w:val="18"/>
                <w:lang w:eastAsia="en-US"/>
              </w:rPr>
            </w:pPr>
            <w:r w:rsidRPr="005115FC">
              <w:rPr>
                <w:rFonts w:eastAsia="Palatino Linotype" w:cs="Calibri Light"/>
                <w:sz w:val="18"/>
                <w:szCs w:val="18"/>
                <w:lang w:eastAsia="en-US"/>
              </w:rPr>
              <w:t>wypłat</w:t>
            </w:r>
          </w:p>
        </w:tc>
        <w:tc>
          <w:tcPr>
            <w:tcW w:w="850" w:type="dxa"/>
            <w:vMerge w:val="restart"/>
            <w:tcBorders>
              <w:top w:val="single" w:sz="4" w:space="0" w:color="auto"/>
            </w:tcBorders>
            <w:shd w:val="clear" w:color="auto" w:fill="DBE5F1" w:themeFill="accent1" w:themeFillTint="33"/>
            <w:textDirection w:val="btLr"/>
            <w:vAlign w:val="center"/>
          </w:tcPr>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bCs/>
                <w:sz w:val="18"/>
                <w:szCs w:val="18"/>
                <w:lang w:eastAsia="en-US"/>
              </w:rPr>
            </w:pPr>
            <w:r w:rsidRPr="005115FC">
              <w:rPr>
                <w:rFonts w:eastAsia="Palatino Linotype" w:cs="Calibri Light"/>
                <w:sz w:val="18"/>
                <w:szCs w:val="18"/>
                <w:lang w:eastAsia="en-US"/>
              </w:rPr>
              <w:t>Liczba deponentów, którzy nie odebrali wypłat</w:t>
            </w:r>
          </w:p>
        </w:tc>
        <w:tc>
          <w:tcPr>
            <w:tcW w:w="851" w:type="dxa"/>
            <w:vMerge w:val="restart"/>
            <w:tcBorders>
              <w:top w:val="single" w:sz="4" w:space="0" w:color="auto"/>
              <w:right w:val="single" w:sz="4" w:space="0" w:color="auto"/>
            </w:tcBorders>
            <w:shd w:val="clear" w:color="auto" w:fill="DBE5F1" w:themeFill="accent1" w:themeFillTint="33"/>
            <w:textDirection w:val="btLr"/>
            <w:vAlign w:val="center"/>
          </w:tcPr>
          <w:p w:rsidR="00F62E47" w:rsidRPr="005115FC" w:rsidRDefault="00F62E47" w:rsidP="00F62E47">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bCs/>
                <w:sz w:val="18"/>
                <w:szCs w:val="18"/>
                <w:lang w:eastAsia="en-US"/>
              </w:rPr>
            </w:pPr>
            <w:r w:rsidRPr="005115FC">
              <w:rPr>
                <w:rFonts w:eastAsia="Palatino Linotype" w:cs="Calibri Light"/>
                <w:sz w:val="18"/>
                <w:szCs w:val="18"/>
                <w:lang w:eastAsia="en-US"/>
              </w:rPr>
              <w:t>Kwota do wypłaty</w:t>
            </w:r>
            <w:r w:rsidRPr="005115FC">
              <w:rPr>
                <w:rFonts w:eastAsia="Palatino Linotype" w:cs="Calibri Light"/>
                <w:bCs/>
                <w:sz w:val="18"/>
                <w:szCs w:val="18"/>
                <w:vertAlign w:val="superscript"/>
                <w:lang w:eastAsia="en-US"/>
              </w:rPr>
              <w:footnoteReference w:id="4"/>
            </w:r>
          </w:p>
        </w:tc>
      </w:tr>
      <w:tr w:rsidR="00F62E47" w:rsidRPr="00E1751B" w:rsidTr="00F62E47">
        <w:trPr>
          <w:trHeight w:val="1116"/>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365F91" w:themeFill="accent1" w:themeFillShade="BF"/>
          </w:tcPr>
          <w:p w:rsidR="00F62E47" w:rsidRPr="00AC0239" w:rsidRDefault="00F62E47" w:rsidP="00F62E47">
            <w:pPr>
              <w:spacing w:after="0"/>
              <w:ind w:firstLine="0"/>
              <w:jc w:val="center"/>
              <w:rPr>
                <w:rFonts w:eastAsia="Palatino Linotype" w:cs="Calibri Light"/>
                <w:b w:val="0"/>
                <w:bCs w:val="0"/>
                <w:color w:val="000000"/>
                <w:sz w:val="16"/>
                <w:szCs w:val="16"/>
                <w:lang w:eastAsia="en-US"/>
              </w:rPr>
            </w:pPr>
          </w:p>
        </w:tc>
        <w:tc>
          <w:tcPr>
            <w:tcW w:w="851" w:type="dxa"/>
            <w:vMerge/>
            <w:textDirection w:val="btLr"/>
          </w:tcPr>
          <w:p w:rsidR="00F62E47" w:rsidRPr="00E1751B"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b/>
                <w:color w:val="FFFFFF"/>
                <w:sz w:val="16"/>
                <w:szCs w:val="16"/>
                <w:highlight w:val="yellow"/>
                <w:lang w:eastAsia="en-US"/>
              </w:rPr>
            </w:pPr>
          </w:p>
        </w:tc>
        <w:tc>
          <w:tcPr>
            <w:tcW w:w="992" w:type="dxa"/>
            <w:vMerge/>
            <w:textDirection w:val="btLr"/>
          </w:tcPr>
          <w:p w:rsidR="00F62E47" w:rsidRPr="00E1751B"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b/>
                <w:color w:val="FFFFFF"/>
                <w:sz w:val="16"/>
                <w:szCs w:val="16"/>
                <w:highlight w:val="yellow"/>
                <w:lang w:eastAsia="en-US"/>
              </w:rPr>
            </w:pPr>
          </w:p>
        </w:tc>
        <w:tc>
          <w:tcPr>
            <w:tcW w:w="709" w:type="dxa"/>
            <w:shd w:val="clear" w:color="auto" w:fill="DBE5F1" w:themeFill="accent1" w:themeFillTint="33"/>
            <w:textDirection w:val="btLr"/>
            <w:vAlign w:val="center"/>
          </w:tcPr>
          <w:p w:rsidR="00F62E47" w:rsidRPr="005115FC"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sz w:val="16"/>
                <w:szCs w:val="16"/>
                <w:lang w:eastAsia="en-US"/>
              </w:rPr>
            </w:pPr>
            <w:r w:rsidRPr="005115FC">
              <w:rPr>
                <w:rFonts w:eastAsia="Palatino Linotype" w:cs="Calibri Light"/>
                <w:sz w:val="16"/>
                <w:szCs w:val="16"/>
                <w:lang w:eastAsia="en-US"/>
              </w:rPr>
              <w:t>Ogółem</w:t>
            </w:r>
          </w:p>
        </w:tc>
        <w:tc>
          <w:tcPr>
            <w:tcW w:w="709" w:type="dxa"/>
            <w:shd w:val="clear" w:color="auto" w:fill="DBE5F1" w:themeFill="accent1" w:themeFillTint="33"/>
            <w:textDirection w:val="btLr"/>
            <w:vAlign w:val="center"/>
          </w:tcPr>
          <w:p w:rsidR="00F62E47" w:rsidRPr="005115FC"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sz w:val="16"/>
                <w:szCs w:val="16"/>
                <w:lang w:eastAsia="en-US"/>
              </w:rPr>
            </w:pPr>
            <w:r w:rsidRPr="005115FC">
              <w:rPr>
                <w:rFonts w:eastAsia="Palatino Linotype" w:cs="Calibri Light"/>
                <w:sz w:val="16"/>
                <w:szCs w:val="16"/>
                <w:lang w:eastAsia="en-US"/>
              </w:rPr>
              <w:t>Obsłużonych przez Biuro Funduszu</w:t>
            </w:r>
          </w:p>
        </w:tc>
        <w:tc>
          <w:tcPr>
            <w:tcW w:w="1134" w:type="dxa"/>
            <w:shd w:val="clear" w:color="auto" w:fill="DBE5F1" w:themeFill="accent1" w:themeFillTint="33"/>
            <w:textDirection w:val="btLr"/>
            <w:vAlign w:val="center"/>
          </w:tcPr>
          <w:p w:rsidR="00F62E47" w:rsidRPr="005115FC"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sz w:val="16"/>
                <w:szCs w:val="16"/>
                <w:lang w:eastAsia="en-US"/>
              </w:rPr>
            </w:pPr>
            <w:r w:rsidRPr="005115FC">
              <w:rPr>
                <w:rFonts w:eastAsia="Palatino Linotype" w:cs="Calibri Light"/>
                <w:sz w:val="16"/>
                <w:szCs w:val="16"/>
                <w:lang w:eastAsia="en-US"/>
              </w:rPr>
              <w:t>Ogółem</w:t>
            </w:r>
          </w:p>
        </w:tc>
        <w:tc>
          <w:tcPr>
            <w:tcW w:w="850" w:type="dxa"/>
            <w:shd w:val="clear" w:color="auto" w:fill="DBE5F1" w:themeFill="accent1" w:themeFillTint="33"/>
            <w:textDirection w:val="btLr"/>
            <w:vAlign w:val="center"/>
          </w:tcPr>
          <w:p w:rsidR="00F62E47" w:rsidRPr="005115FC"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sz w:val="16"/>
                <w:szCs w:val="16"/>
                <w:lang w:eastAsia="en-US"/>
              </w:rPr>
            </w:pPr>
            <w:r w:rsidRPr="005115FC">
              <w:rPr>
                <w:rFonts w:eastAsia="Palatino Linotype" w:cs="Calibri Light"/>
                <w:sz w:val="16"/>
                <w:szCs w:val="16"/>
                <w:lang w:eastAsia="en-US"/>
              </w:rPr>
              <w:t>Zrealizowana przez Biuro Funduszu</w:t>
            </w:r>
          </w:p>
        </w:tc>
        <w:tc>
          <w:tcPr>
            <w:tcW w:w="709" w:type="dxa"/>
            <w:vMerge/>
            <w:textDirection w:val="btLr"/>
            <w:vAlign w:val="center"/>
          </w:tcPr>
          <w:p w:rsidR="00F62E47" w:rsidRPr="00E1751B"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b/>
                <w:color w:val="000000"/>
                <w:sz w:val="16"/>
                <w:szCs w:val="16"/>
                <w:highlight w:val="yellow"/>
                <w:lang w:eastAsia="en-US"/>
              </w:rPr>
            </w:pPr>
          </w:p>
        </w:tc>
        <w:tc>
          <w:tcPr>
            <w:tcW w:w="850" w:type="dxa"/>
            <w:vMerge/>
            <w:textDirection w:val="btLr"/>
            <w:vAlign w:val="center"/>
          </w:tcPr>
          <w:p w:rsidR="00F62E47" w:rsidRPr="00E1751B"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b/>
                <w:color w:val="000000"/>
                <w:sz w:val="16"/>
                <w:szCs w:val="16"/>
                <w:highlight w:val="yellow"/>
                <w:lang w:eastAsia="en-US"/>
              </w:rPr>
            </w:pPr>
          </w:p>
        </w:tc>
        <w:tc>
          <w:tcPr>
            <w:tcW w:w="851" w:type="dxa"/>
            <w:vMerge/>
            <w:textDirection w:val="btLr"/>
            <w:vAlign w:val="center"/>
          </w:tcPr>
          <w:p w:rsidR="00F62E47" w:rsidRPr="00E1751B" w:rsidRDefault="00F62E47" w:rsidP="00F62E47">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b/>
                <w:color w:val="000000"/>
                <w:sz w:val="16"/>
                <w:szCs w:val="16"/>
                <w:highlight w:val="yellow"/>
                <w:lang w:eastAsia="en-US"/>
              </w:rPr>
            </w:pPr>
          </w:p>
        </w:tc>
      </w:tr>
      <w:tr w:rsidR="00F62E47" w:rsidRPr="00F6449B" w:rsidTr="00F62E47">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vAlign w:val="center"/>
          </w:tcPr>
          <w:p w:rsidR="00F62E47" w:rsidRPr="00F6449B" w:rsidRDefault="00F62E47" w:rsidP="00F62E47">
            <w:pPr>
              <w:spacing w:after="0"/>
              <w:ind w:firstLine="0"/>
              <w:jc w:val="left"/>
              <w:rPr>
                <w:rFonts w:eastAsia="Palatino Linotype" w:cs="Calibri Light"/>
                <w:b w:val="0"/>
                <w:bCs w:val="0"/>
                <w:color w:val="000000"/>
                <w:sz w:val="17"/>
                <w:szCs w:val="17"/>
                <w:lang w:eastAsia="en-US"/>
              </w:rPr>
            </w:pPr>
            <w:r w:rsidRPr="00F6449B">
              <w:rPr>
                <w:rFonts w:eastAsia="Palatino Linotype" w:cs="Calibri Light"/>
                <w:b w:val="0"/>
                <w:bCs w:val="0"/>
                <w:sz w:val="17"/>
                <w:szCs w:val="17"/>
                <w:lang w:eastAsia="en-US"/>
              </w:rPr>
              <w:t>BS w Grębowie</w:t>
            </w:r>
          </w:p>
        </w:tc>
        <w:tc>
          <w:tcPr>
            <w:tcW w:w="851"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0</w:t>
            </w:r>
          </w:p>
        </w:tc>
        <w:tc>
          <w:tcPr>
            <w:tcW w:w="992"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0,0</w:t>
            </w:r>
          </w:p>
        </w:tc>
        <w:tc>
          <w:tcPr>
            <w:tcW w:w="709"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1 577</w:t>
            </w:r>
          </w:p>
        </w:tc>
        <w:tc>
          <w:tcPr>
            <w:tcW w:w="709"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38</w:t>
            </w:r>
          </w:p>
        </w:tc>
        <w:tc>
          <w:tcPr>
            <w:tcW w:w="1134"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22 745,4</w:t>
            </w:r>
          </w:p>
        </w:tc>
        <w:tc>
          <w:tcPr>
            <w:tcW w:w="850"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351,3</w:t>
            </w:r>
          </w:p>
        </w:tc>
        <w:tc>
          <w:tcPr>
            <w:tcW w:w="709"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99,0%</w:t>
            </w:r>
          </w:p>
        </w:tc>
        <w:tc>
          <w:tcPr>
            <w:tcW w:w="850"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788</w:t>
            </w:r>
          </w:p>
        </w:tc>
        <w:tc>
          <w:tcPr>
            <w:tcW w:w="851" w:type="dxa"/>
            <w:tcBorders>
              <w:top w:val="none" w:sz="0" w:space="0" w:color="auto"/>
              <w:bottom w:val="none" w:sz="0" w:space="0" w:color="auto"/>
              <w:right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238,1</w:t>
            </w:r>
          </w:p>
        </w:tc>
      </w:tr>
      <w:tr w:rsidR="00F62E47" w:rsidRPr="00F6449B" w:rsidTr="00F62E47">
        <w:trPr>
          <w:trHeight w:val="179"/>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F62E47" w:rsidRPr="00F6449B" w:rsidRDefault="00F62E47" w:rsidP="00F62E47">
            <w:pPr>
              <w:spacing w:after="0"/>
              <w:ind w:firstLine="0"/>
              <w:jc w:val="left"/>
              <w:rPr>
                <w:rFonts w:eastAsia="Palatino Linotype" w:cs="Calibri Light"/>
                <w:b w:val="0"/>
                <w:bCs w:val="0"/>
                <w:color w:val="000000"/>
                <w:sz w:val="17"/>
                <w:szCs w:val="17"/>
                <w:lang w:eastAsia="en-US"/>
              </w:rPr>
            </w:pPr>
            <w:r w:rsidRPr="00F6449B">
              <w:rPr>
                <w:rFonts w:eastAsia="Palatino Linotype" w:cs="Calibri Light"/>
                <w:b w:val="0"/>
                <w:bCs w:val="0"/>
                <w:sz w:val="17"/>
                <w:szCs w:val="17"/>
                <w:lang w:eastAsia="en-US"/>
              </w:rPr>
              <w:t>BS w Nadarzynie</w:t>
            </w:r>
          </w:p>
        </w:tc>
        <w:tc>
          <w:tcPr>
            <w:tcW w:w="851"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0</w:t>
            </w:r>
          </w:p>
        </w:tc>
        <w:tc>
          <w:tcPr>
            <w:tcW w:w="992"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sidDel="00045C41">
              <w:rPr>
                <w:rFonts w:cs="Calibri Light"/>
                <w:color w:val="000000"/>
                <w:sz w:val="17"/>
                <w:szCs w:val="17"/>
                <w:lang w:eastAsia="en-US"/>
              </w:rPr>
              <w:t>0,</w:t>
            </w:r>
            <w:r w:rsidRPr="00F6449B">
              <w:rPr>
                <w:rFonts w:cs="Calibri Light"/>
                <w:color w:val="000000"/>
                <w:sz w:val="17"/>
                <w:szCs w:val="17"/>
                <w:lang w:eastAsia="en-US"/>
              </w:rPr>
              <w:t>0</w:t>
            </w:r>
          </w:p>
        </w:tc>
        <w:tc>
          <w:tcPr>
            <w:tcW w:w="709"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3 778</w:t>
            </w:r>
          </w:p>
        </w:tc>
        <w:tc>
          <w:tcPr>
            <w:tcW w:w="709"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 xml:space="preserve"> 758</w:t>
            </w:r>
          </w:p>
        </w:tc>
        <w:tc>
          <w:tcPr>
            <w:tcW w:w="1134"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 xml:space="preserve"> 145 041,9</w:t>
            </w:r>
          </w:p>
        </w:tc>
        <w:tc>
          <w:tcPr>
            <w:tcW w:w="850"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13 536,5</w:t>
            </w:r>
          </w:p>
        </w:tc>
        <w:tc>
          <w:tcPr>
            <w:tcW w:w="709"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99,4%</w:t>
            </w:r>
          </w:p>
        </w:tc>
        <w:tc>
          <w:tcPr>
            <w:tcW w:w="850"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 4</w:t>
            </w:r>
          </w:p>
        </w:tc>
        <w:tc>
          <w:tcPr>
            <w:tcW w:w="851" w:type="dxa"/>
            <w:vAlign w:val="center"/>
          </w:tcPr>
          <w:p w:rsidR="00F62E47" w:rsidRPr="00F6449B" w:rsidRDefault="00F62E47" w:rsidP="00F62E4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 xml:space="preserve"> </w:t>
            </w:r>
            <w:r>
              <w:rPr>
                <w:rFonts w:cs="Calibri Light"/>
                <w:color w:val="000000"/>
                <w:sz w:val="17"/>
                <w:szCs w:val="17"/>
                <w:lang w:eastAsia="en-US"/>
              </w:rPr>
              <w:t>121,1</w:t>
            </w:r>
          </w:p>
        </w:tc>
      </w:tr>
      <w:tr w:rsidR="00F62E47" w:rsidRPr="00F6449B" w:rsidTr="00F62E47">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vAlign w:val="center"/>
          </w:tcPr>
          <w:p w:rsidR="00F62E47" w:rsidRPr="00F6449B" w:rsidRDefault="00F62E47" w:rsidP="00F62E47">
            <w:pPr>
              <w:spacing w:after="0"/>
              <w:ind w:firstLine="0"/>
              <w:jc w:val="left"/>
              <w:rPr>
                <w:rFonts w:eastAsia="Palatino Linotype" w:cs="Calibri Light"/>
                <w:b w:val="0"/>
                <w:bCs w:val="0"/>
                <w:color w:val="000000"/>
                <w:sz w:val="17"/>
                <w:szCs w:val="17"/>
                <w:lang w:eastAsia="en-US"/>
              </w:rPr>
            </w:pPr>
            <w:r w:rsidRPr="00F6449B">
              <w:rPr>
                <w:rFonts w:eastAsia="Palatino Linotype" w:cs="Calibri Light"/>
                <w:b w:val="0"/>
                <w:bCs w:val="0"/>
                <w:sz w:val="17"/>
                <w:szCs w:val="17"/>
                <w:lang w:eastAsia="en-US"/>
              </w:rPr>
              <w:t>SBRiR w Wołominie</w:t>
            </w:r>
          </w:p>
        </w:tc>
        <w:tc>
          <w:tcPr>
            <w:tcW w:w="851"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0</w:t>
            </w:r>
          </w:p>
        </w:tc>
        <w:tc>
          <w:tcPr>
            <w:tcW w:w="992"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0,0</w:t>
            </w:r>
          </w:p>
        </w:tc>
        <w:tc>
          <w:tcPr>
            <w:tcW w:w="709"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27 253</w:t>
            </w:r>
          </w:p>
        </w:tc>
        <w:tc>
          <w:tcPr>
            <w:tcW w:w="709"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1 978</w:t>
            </w:r>
          </w:p>
        </w:tc>
        <w:tc>
          <w:tcPr>
            <w:tcW w:w="1134"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 xml:space="preserve"> </w:t>
            </w:r>
            <w:r>
              <w:rPr>
                <w:rFonts w:cs="Calibri Light"/>
                <w:color w:val="000000"/>
                <w:sz w:val="17"/>
                <w:szCs w:val="17"/>
                <w:lang w:eastAsia="en-US"/>
              </w:rPr>
              <w:t>2 032 051,4</w:t>
            </w:r>
          </w:p>
        </w:tc>
        <w:tc>
          <w:tcPr>
            <w:tcW w:w="850"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71 443,6</w:t>
            </w:r>
          </w:p>
        </w:tc>
        <w:tc>
          <w:tcPr>
            <w:tcW w:w="709"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sidRPr="00F6449B">
              <w:rPr>
                <w:rFonts w:cs="Calibri Light"/>
                <w:color w:val="000000"/>
                <w:sz w:val="17"/>
                <w:szCs w:val="17"/>
                <w:lang w:eastAsia="en-US"/>
              </w:rPr>
              <w:t>99,8%</w:t>
            </w:r>
          </w:p>
        </w:tc>
        <w:tc>
          <w:tcPr>
            <w:tcW w:w="850" w:type="dxa"/>
            <w:tcBorders>
              <w:top w:val="none" w:sz="0" w:space="0" w:color="auto"/>
              <w:bottom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5</w:t>
            </w:r>
          </w:p>
        </w:tc>
        <w:tc>
          <w:tcPr>
            <w:tcW w:w="851" w:type="dxa"/>
            <w:tcBorders>
              <w:top w:val="none" w:sz="0" w:space="0" w:color="auto"/>
              <w:bottom w:val="none" w:sz="0" w:space="0" w:color="auto"/>
              <w:right w:val="none" w:sz="0" w:space="0" w:color="auto"/>
            </w:tcBorders>
            <w:vAlign w:val="center"/>
          </w:tcPr>
          <w:p w:rsidR="00F62E47" w:rsidRPr="00F6449B" w:rsidRDefault="00F62E47" w:rsidP="00F62E4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000000"/>
                <w:sz w:val="17"/>
                <w:szCs w:val="17"/>
                <w:lang w:eastAsia="en-US"/>
              </w:rPr>
            </w:pPr>
            <w:r>
              <w:rPr>
                <w:rFonts w:cs="Calibri Light"/>
                <w:color w:val="000000"/>
                <w:sz w:val="17"/>
                <w:szCs w:val="17"/>
                <w:lang w:eastAsia="en-US"/>
              </w:rPr>
              <w:t>42,4</w:t>
            </w:r>
          </w:p>
        </w:tc>
      </w:tr>
    </w:tbl>
    <w:p w:rsidR="00F62E47" w:rsidRPr="005F2A01" w:rsidRDefault="00F62E47" w:rsidP="00B3203C">
      <w:pPr>
        <w:pStyle w:val="Akapitzlist"/>
        <w:widowControl w:val="0"/>
        <w:spacing w:before="120" w:after="120"/>
        <w:ind w:left="0"/>
        <w:rPr>
          <w:rFonts w:cs="Calibri Light"/>
          <w:highlight w:val="yellow"/>
        </w:rPr>
      </w:pPr>
      <w:r w:rsidRPr="005F2A01">
        <w:rPr>
          <w:rFonts w:cs="Calibri Light"/>
        </w:rPr>
        <w:t xml:space="preserve">W </w:t>
      </w:r>
      <w:r w:rsidRPr="00F62E47">
        <w:rPr>
          <w:rFonts w:eastAsia="Palatino Linotype" w:cs="Calibri Light"/>
          <w:lang w:eastAsia="en-US"/>
        </w:rPr>
        <w:t>przypadku</w:t>
      </w:r>
      <w:r w:rsidRPr="005F2A01">
        <w:rPr>
          <w:rFonts w:cs="Calibri Light"/>
        </w:rPr>
        <w:t xml:space="preserve"> dwóch z ww. banków wypłaty środków gwarantowanych prowadzone były także dla posiadaczy indywidualnych kont emerytalnych oraz indywidualnych kont zabezpieczenia emerytalnego na podstawie </w:t>
      </w:r>
      <w:r w:rsidRPr="005F2A01">
        <w:rPr>
          <w:rFonts w:cs="Calibri Light"/>
          <w:i/>
        </w:rPr>
        <w:t>ustawy z dnia 20 kwietnia 2004 r. o indywidualnych kontach emerytalnych oraz indywidualnych kontach zabezpieczenia emerytalnego</w:t>
      </w:r>
      <w:r w:rsidRPr="005F2A01">
        <w:rPr>
          <w:rFonts w:cs="Calibri Light"/>
        </w:rPr>
        <w:t xml:space="preserve"> („ustawa o IKE oraz IKZE”)</w:t>
      </w:r>
      <w:r w:rsidRPr="00175114">
        <w:rPr>
          <w:vertAlign w:val="superscript"/>
          <w:lang w:eastAsia="en-US"/>
        </w:rPr>
        <w:footnoteReference w:id="5"/>
      </w:r>
      <w:r w:rsidRPr="005F2A01">
        <w:rPr>
          <w:rFonts w:cs="Calibri Light"/>
        </w:rPr>
        <w:t>.</w:t>
      </w:r>
    </w:p>
    <w:p w:rsidR="00F62E47" w:rsidRPr="005F2A01" w:rsidRDefault="00F62E47" w:rsidP="00F62E47">
      <w:pPr>
        <w:keepNext/>
        <w:keepLines/>
        <w:spacing w:after="60"/>
        <w:ind w:firstLine="0"/>
        <w:rPr>
          <w:rFonts w:eastAsia="Times New Roman" w:cs="Calibri Light"/>
          <w:b/>
          <w:sz w:val="22"/>
          <w:szCs w:val="22"/>
        </w:rPr>
      </w:pPr>
      <w:r w:rsidRPr="005F2A01">
        <w:rPr>
          <w:rFonts w:eastAsia="Times New Roman" w:cs="Calibri Light"/>
          <w:b/>
          <w:sz w:val="22"/>
          <w:szCs w:val="22"/>
        </w:rPr>
        <w:t>Tabela 2. Zrealizowane przez Fundusz wypłaty środków gwarantowanych dla deponentów banków z tytułu IKE i IKZE – stan na 30.0</w:t>
      </w:r>
      <w:r>
        <w:rPr>
          <w:rFonts w:eastAsia="Times New Roman" w:cs="Calibri Light"/>
          <w:b/>
          <w:sz w:val="22"/>
          <w:szCs w:val="22"/>
        </w:rPr>
        <w:t>9</w:t>
      </w:r>
      <w:r w:rsidRPr="005F2A01">
        <w:rPr>
          <w:rFonts w:eastAsia="Times New Roman" w:cs="Calibri Light"/>
          <w:b/>
          <w:sz w:val="22"/>
          <w:szCs w:val="22"/>
        </w:rPr>
        <w:t>.2022 r.</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2126"/>
        <w:gridCol w:w="1921"/>
      </w:tblGrid>
      <w:tr w:rsidR="00F62E47" w:rsidRPr="00E1751B" w:rsidTr="00F62E47">
        <w:trPr>
          <w:trHeight w:hRule="exact" w:val="301"/>
          <w:tblHeader/>
        </w:trPr>
        <w:tc>
          <w:tcPr>
            <w:tcW w:w="5240" w:type="dxa"/>
            <w:gridSpan w:val="2"/>
            <w:shd w:val="clear" w:color="auto" w:fill="2A5384"/>
            <w:vAlign w:val="center"/>
            <w:hideMark/>
          </w:tcPr>
          <w:p w:rsidR="00F62E47" w:rsidRPr="005115FC" w:rsidRDefault="00F62E47" w:rsidP="00F62E47">
            <w:pPr>
              <w:widowControl w:val="0"/>
              <w:spacing w:after="0"/>
              <w:ind w:firstLine="284"/>
              <w:jc w:val="center"/>
              <w:rPr>
                <w:rFonts w:eastAsia="Palatino Linotype" w:cs="Calibri Light"/>
                <w:bCs/>
                <w:color w:val="FFFFFF"/>
                <w:sz w:val="18"/>
                <w:szCs w:val="18"/>
                <w:lang w:eastAsia="en-US"/>
              </w:rPr>
            </w:pPr>
            <w:r w:rsidRPr="005115FC">
              <w:rPr>
                <w:rFonts w:eastAsia="Palatino Linotype" w:cs="Calibri Light"/>
                <w:b/>
                <w:bCs/>
                <w:color w:val="FFFFFF"/>
                <w:sz w:val="18"/>
                <w:szCs w:val="18"/>
                <w:lang w:eastAsia="en-US"/>
              </w:rPr>
              <w:t>Wyszczególnienie</w:t>
            </w:r>
          </w:p>
        </w:tc>
        <w:tc>
          <w:tcPr>
            <w:tcW w:w="2126" w:type="dxa"/>
            <w:shd w:val="clear" w:color="auto" w:fill="2A5384"/>
            <w:vAlign w:val="center"/>
            <w:hideMark/>
          </w:tcPr>
          <w:p w:rsidR="00F62E47" w:rsidRPr="005115FC" w:rsidRDefault="00F62E47" w:rsidP="00F62E47">
            <w:pPr>
              <w:widowControl w:val="0"/>
              <w:spacing w:after="0"/>
              <w:ind w:firstLine="284"/>
              <w:jc w:val="center"/>
              <w:rPr>
                <w:rFonts w:eastAsia="Palatino Linotype" w:cs="Calibri Light"/>
                <w:bCs/>
                <w:color w:val="FFFFFF"/>
                <w:sz w:val="18"/>
                <w:szCs w:val="18"/>
                <w:lang w:eastAsia="en-US"/>
              </w:rPr>
            </w:pPr>
            <w:r w:rsidRPr="005115FC">
              <w:rPr>
                <w:rFonts w:eastAsia="Palatino Linotype" w:cs="Calibri Light"/>
                <w:b/>
                <w:bCs/>
                <w:color w:val="FFFFFF"/>
                <w:sz w:val="18"/>
                <w:szCs w:val="18"/>
                <w:lang w:eastAsia="en-US"/>
              </w:rPr>
              <w:t>SBRiR w Wołominie</w:t>
            </w:r>
          </w:p>
        </w:tc>
        <w:tc>
          <w:tcPr>
            <w:tcW w:w="1921" w:type="dxa"/>
            <w:shd w:val="clear" w:color="auto" w:fill="2A5384"/>
            <w:vAlign w:val="center"/>
          </w:tcPr>
          <w:p w:rsidR="00F62E47" w:rsidRPr="005115FC" w:rsidRDefault="00F62E47" w:rsidP="00F62E47">
            <w:pPr>
              <w:widowControl w:val="0"/>
              <w:spacing w:after="0"/>
              <w:ind w:firstLine="284"/>
              <w:jc w:val="center"/>
              <w:rPr>
                <w:rFonts w:eastAsia="Palatino Linotype" w:cs="Calibri Light"/>
                <w:bCs/>
                <w:color w:val="FFFFFF"/>
                <w:sz w:val="18"/>
                <w:szCs w:val="18"/>
                <w:lang w:eastAsia="en-US"/>
              </w:rPr>
            </w:pPr>
            <w:r w:rsidRPr="005115FC">
              <w:rPr>
                <w:rFonts w:eastAsia="Palatino Linotype" w:cs="Calibri Light"/>
                <w:b/>
                <w:bCs/>
                <w:color w:val="FFFFFF"/>
                <w:sz w:val="18"/>
                <w:szCs w:val="18"/>
                <w:lang w:eastAsia="en-US"/>
              </w:rPr>
              <w:t>BS w Nadarzynie</w:t>
            </w:r>
          </w:p>
        </w:tc>
      </w:tr>
      <w:tr w:rsidR="00F62E47" w:rsidRPr="00175114" w:rsidTr="00F62E47">
        <w:trPr>
          <w:trHeight w:val="202"/>
        </w:trPr>
        <w:tc>
          <w:tcPr>
            <w:tcW w:w="3114" w:type="dxa"/>
            <w:vMerge w:val="restart"/>
            <w:shd w:val="clear" w:color="auto" w:fill="FFFFFF"/>
            <w:vAlign w:val="center"/>
            <w:hideMark/>
          </w:tcPr>
          <w:p w:rsidR="00F62E47" w:rsidRPr="00175114" w:rsidRDefault="00F62E47" w:rsidP="00F62E47">
            <w:pPr>
              <w:spacing w:after="0"/>
              <w:ind w:firstLine="0"/>
              <w:jc w:val="left"/>
              <w:rPr>
                <w:rFonts w:eastAsia="Times New Roman" w:cs="Calibri Light"/>
                <w:b/>
                <w:sz w:val="18"/>
                <w:szCs w:val="18"/>
              </w:rPr>
            </w:pPr>
            <w:r w:rsidRPr="00175114">
              <w:rPr>
                <w:rFonts w:eastAsia="Times New Roman" w:cs="Calibri Light"/>
                <w:b/>
                <w:sz w:val="18"/>
                <w:szCs w:val="18"/>
              </w:rPr>
              <w:t xml:space="preserve">Łączne </w:t>
            </w:r>
            <w:r>
              <w:rPr>
                <w:rFonts w:eastAsia="Times New Roman" w:cs="Calibri Light"/>
                <w:b/>
                <w:sz w:val="18"/>
                <w:szCs w:val="18"/>
              </w:rPr>
              <w:t>zrealizowane wypłaty IKE i IKZE</w:t>
            </w:r>
          </w:p>
        </w:tc>
        <w:tc>
          <w:tcPr>
            <w:tcW w:w="2126" w:type="dxa"/>
            <w:shd w:val="clear" w:color="auto" w:fill="FFFFFF"/>
            <w:vAlign w:val="center"/>
            <w:hideMark/>
          </w:tcPr>
          <w:p w:rsidR="00F62E47" w:rsidRPr="00175114" w:rsidRDefault="00F62E47" w:rsidP="00F62E47">
            <w:pPr>
              <w:spacing w:after="0"/>
              <w:ind w:firstLine="37"/>
              <w:rPr>
                <w:rFonts w:eastAsia="Times New Roman" w:cs="Calibri Light"/>
                <w:sz w:val="18"/>
                <w:szCs w:val="18"/>
              </w:rPr>
            </w:pPr>
            <w:r w:rsidRPr="00175114">
              <w:rPr>
                <w:rFonts w:eastAsia="Times New Roman" w:cs="Calibri Light"/>
                <w:sz w:val="18"/>
                <w:szCs w:val="18"/>
              </w:rPr>
              <w:t>Liczba wypłat*</w:t>
            </w:r>
          </w:p>
        </w:tc>
        <w:tc>
          <w:tcPr>
            <w:tcW w:w="2126" w:type="dxa"/>
            <w:shd w:val="clear" w:color="auto" w:fill="FFFFFF"/>
            <w:vAlign w:val="center"/>
          </w:tcPr>
          <w:p w:rsidR="00F62E47" w:rsidRPr="00175114" w:rsidRDefault="00F62E47" w:rsidP="00F62E47">
            <w:pPr>
              <w:spacing w:after="0"/>
              <w:ind w:firstLine="284"/>
              <w:jc w:val="center"/>
              <w:rPr>
                <w:rFonts w:eastAsia="Times New Roman" w:cs="Calibri Light"/>
                <w:sz w:val="18"/>
                <w:szCs w:val="18"/>
              </w:rPr>
            </w:pPr>
            <w:r w:rsidRPr="00175114">
              <w:rPr>
                <w:rFonts w:eastAsia="Times New Roman" w:cs="Calibri Light"/>
                <w:sz w:val="18"/>
                <w:szCs w:val="18"/>
              </w:rPr>
              <w:t>1 242</w:t>
            </w:r>
          </w:p>
        </w:tc>
        <w:tc>
          <w:tcPr>
            <w:tcW w:w="1921" w:type="dxa"/>
            <w:shd w:val="clear" w:color="auto" w:fill="FFFFFF"/>
            <w:vAlign w:val="center"/>
          </w:tcPr>
          <w:p w:rsidR="00F62E47" w:rsidRPr="00175114" w:rsidRDefault="00F62E47" w:rsidP="00F62E47">
            <w:pPr>
              <w:spacing w:after="0"/>
              <w:ind w:firstLine="284"/>
              <w:jc w:val="center"/>
              <w:rPr>
                <w:rFonts w:eastAsia="Times New Roman" w:cs="Calibri Light"/>
                <w:sz w:val="18"/>
                <w:szCs w:val="18"/>
              </w:rPr>
            </w:pPr>
            <w:r w:rsidRPr="00175114">
              <w:rPr>
                <w:rFonts w:eastAsia="Times New Roman" w:cs="Calibri Light"/>
                <w:sz w:val="18"/>
                <w:szCs w:val="18"/>
              </w:rPr>
              <w:t>464</w:t>
            </w:r>
          </w:p>
        </w:tc>
      </w:tr>
      <w:tr w:rsidR="00F62E47" w:rsidRPr="00175114" w:rsidTr="00F62E47">
        <w:trPr>
          <w:trHeight w:val="196"/>
        </w:trPr>
        <w:tc>
          <w:tcPr>
            <w:tcW w:w="3114" w:type="dxa"/>
            <w:vMerge/>
            <w:shd w:val="clear" w:color="auto" w:fill="FFFFFF"/>
            <w:vAlign w:val="center"/>
            <w:hideMark/>
          </w:tcPr>
          <w:p w:rsidR="00F62E47" w:rsidRPr="00175114" w:rsidRDefault="00F62E47" w:rsidP="00F62E47">
            <w:pPr>
              <w:spacing w:after="0"/>
              <w:ind w:firstLine="0"/>
              <w:rPr>
                <w:rFonts w:eastAsia="Times New Roman" w:cs="Calibri Light"/>
                <w:sz w:val="18"/>
                <w:szCs w:val="18"/>
              </w:rPr>
            </w:pPr>
          </w:p>
        </w:tc>
        <w:tc>
          <w:tcPr>
            <w:tcW w:w="2126" w:type="dxa"/>
            <w:shd w:val="clear" w:color="auto" w:fill="FFFFFF"/>
            <w:vAlign w:val="center"/>
            <w:hideMark/>
          </w:tcPr>
          <w:p w:rsidR="00F62E47" w:rsidRPr="00175114" w:rsidRDefault="00F62E47" w:rsidP="00F62E47">
            <w:pPr>
              <w:spacing w:after="0"/>
              <w:ind w:firstLine="37"/>
              <w:rPr>
                <w:rFonts w:eastAsia="Times New Roman" w:cs="Calibri Light"/>
                <w:sz w:val="18"/>
                <w:szCs w:val="18"/>
              </w:rPr>
            </w:pPr>
            <w:r w:rsidRPr="00175114">
              <w:rPr>
                <w:rFonts w:eastAsia="Times New Roman" w:cs="Calibri Light"/>
                <w:sz w:val="18"/>
                <w:szCs w:val="18"/>
              </w:rPr>
              <w:t>Kwota wypłat (w tys. zł)</w:t>
            </w:r>
            <w:r w:rsidRPr="00175114">
              <w:rPr>
                <w:rFonts w:cs="Calibri Light"/>
                <w:sz w:val="18"/>
                <w:szCs w:val="18"/>
                <w:vertAlign w:val="superscript"/>
              </w:rPr>
              <w:t xml:space="preserve"> </w:t>
            </w:r>
          </w:p>
        </w:tc>
        <w:tc>
          <w:tcPr>
            <w:tcW w:w="2126" w:type="dxa"/>
            <w:shd w:val="clear" w:color="auto" w:fill="FFFFFF"/>
            <w:vAlign w:val="center"/>
          </w:tcPr>
          <w:p w:rsidR="00F62E47" w:rsidRPr="00175114" w:rsidRDefault="00F62E47" w:rsidP="00F62E47">
            <w:pPr>
              <w:spacing w:after="0"/>
              <w:ind w:firstLine="284"/>
              <w:jc w:val="center"/>
              <w:rPr>
                <w:rFonts w:eastAsia="Times New Roman" w:cs="Calibri Light"/>
                <w:sz w:val="18"/>
                <w:szCs w:val="18"/>
              </w:rPr>
            </w:pPr>
            <w:r w:rsidRPr="00175114">
              <w:rPr>
                <w:rFonts w:eastAsia="Times New Roman" w:cs="Calibri Light"/>
                <w:sz w:val="18"/>
                <w:szCs w:val="18"/>
              </w:rPr>
              <w:t>33 599,9</w:t>
            </w:r>
          </w:p>
        </w:tc>
        <w:tc>
          <w:tcPr>
            <w:tcW w:w="1921" w:type="dxa"/>
            <w:shd w:val="clear" w:color="auto" w:fill="FFFFFF"/>
            <w:vAlign w:val="center"/>
          </w:tcPr>
          <w:p w:rsidR="00F62E47" w:rsidRPr="00175114" w:rsidRDefault="00F62E47" w:rsidP="00F62E47">
            <w:pPr>
              <w:spacing w:after="0"/>
              <w:ind w:firstLine="284"/>
              <w:jc w:val="center"/>
              <w:rPr>
                <w:rFonts w:eastAsia="Times New Roman" w:cs="Calibri Light"/>
                <w:sz w:val="18"/>
                <w:szCs w:val="18"/>
              </w:rPr>
            </w:pPr>
            <w:r w:rsidRPr="00175114">
              <w:rPr>
                <w:rFonts w:eastAsia="Times New Roman" w:cs="Calibri Light"/>
                <w:sz w:val="18"/>
                <w:szCs w:val="18"/>
              </w:rPr>
              <w:t>10 732,8</w:t>
            </w:r>
          </w:p>
        </w:tc>
      </w:tr>
      <w:tr w:rsidR="00F62E47" w:rsidRPr="00175114" w:rsidTr="00F62E47">
        <w:trPr>
          <w:trHeight w:val="220"/>
        </w:trPr>
        <w:tc>
          <w:tcPr>
            <w:tcW w:w="5240" w:type="dxa"/>
            <w:gridSpan w:val="2"/>
            <w:shd w:val="clear" w:color="auto" w:fill="FFFFFF"/>
            <w:vAlign w:val="center"/>
            <w:hideMark/>
          </w:tcPr>
          <w:p w:rsidR="00F62E47" w:rsidRPr="00175114" w:rsidRDefault="00F62E47" w:rsidP="00F62E47">
            <w:pPr>
              <w:widowControl w:val="0"/>
              <w:spacing w:after="0"/>
              <w:ind w:firstLine="0"/>
              <w:rPr>
                <w:rFonts w:eastAsia="Times New Roman" w:cs="Calibri Light"/>
                <w:sz w:val="18"/>
                <w:szCs w:val="18"/>
              </w:rPr>
            </w:pPr>
            <w:r>
              <w:rPr>
                <w:rFonts w:eastAsia="Times New Roman" w:cs="Calibri Light"/>
                <w:b/>
                <w:sz w:val="18"/>
                <w:szCs w:val="18"/>
              </w:rPr>
              <w:t>Zaawansowanie wypłat IKE i IKZE</w:t>
            </w:r>
            <w:r w:rsidRPr="00175114">
              <w:rPr>
                <w:rFonts w:eastAsia="Times New Roman" w:cs="Calibri Light"/>
                <w:b/>
                <w:sz w:val="18"/>
                <w:szCs w:val="18"/>
              </w:rPr>
              <w:t>**</w:t>
            </w:r>
          </w:p>
        </w:tc>
        <w:tc>
          <w:tcPr>
            <w:tcW w:w="2126" w:type="dxa"/>
            <w:shd w:val="clear" w:color="auto" w:fill="FFFFFF"/>
            <w:vAlign w:val="center"/>
          </w:tcPr>
          <w:p w:rsidR="00F62E47" w:rsidRPr="00175114" w:rsidRDefault="00F62E47" w:rsidP="00F62E47">
            <w:pPr>
              <w:spacing w:after="0"/>
              <w:ind w:firstLine="284"/>
              <w:jc w:val="center"/>
              <w:rPr>
                <w:rFonts w:eastAsia="Times New Roman" w:cs="Calibri Light"/>
                <w:sz w:val="18"/>
                <w:szCs w:val="18"/>
              </w:rPr>
            </w:pPr>
            <w:r w:rsidRPr="00175114">
              <w:rPr>
                <w:rFonts w:eastAsia="Times New Roman" w:cs="Calibri Light"/>
                <w:sz w:val="18"/>
                <w:szCs w:val="18"/>
              </w:rPr>
              <w:t>99,9%</w:t>
            </w:r>
          </w:p>
        </w:tc>
        <w:tc>
          <w:tcPr>
            <w:tcW w:w="1921" w:type="dxa"/>
            <w:shd w:val="clear" w:color="auto" w:fill="FFFFFF"/>
            <w:vAlign w:val="center"/>
          </w:tcPr>
          <w:p w:rsidR="00F62E47" w:rsidRPr="00175114" w:rsidRDefault="00F62E47" w:rsidP="00F62E47">
            <w:pPr>
              <w:spacing w:after="0"/>
              <w:ind w:firstLine="284"/>
              <w:jc w:val="center"/>
              <w:rPr>
                <w:rFonts w:eastAsia="Times New Roman" w:cs="Calibri Light"/>
                <w:sz w:val="18"/>
                <w:szCs w:val="18"/>
              </w:rPr>
            </w:pPr>
            <w:r w:rsidRPr="00175114">
              <w:rPr>
                <w:rFonts w:eastAsia="Times New Roman" w:cs="Calibri Light"/>
                <w:sz w:val="18"/>
                <w:szCs w:val="18"/>
              </w:rPr>
              <w:t>99,9%</w:t>
            </w:r>
          </w:p>
        </w:tc>
      </w:tr>
    </w:tbl>
    <w:p w:rsidR="00F62E47" w:rsidRPr="005F2A01" w:rsidRDefault="00F62E47" w:rsidP="00F62E47">
      <w:pPr>
        <w:pStyle w:val="Akapitzlist"/>
        <w:spacing w:after="0" w:line="276" w:lineRule="auto"/>
        <w:ind w:left="0" w:firstLine="0"/>
        <w:rPr>
          <w:rFonts w:eastAsia="Times New Roman" w:cs="Calibri Light"/>
          <w:sz w:val="18"/>
          <w:szCs w:val="18"/>
        </w:rPr>
      </w:pPr>
      <w:r w:rsidRPr="005F2A01">
        <w:rPr>
          <w:rFonts w:eastAsia="Times New Roman" w:cs="Calibri Light"/>
          <w:sz w:val="18"/>
          <w:szCs w:val="18"/>
        </w:rPr>
        <w:t>* Deponent może posiadać jednocześnie środki gwarantowane z tytułu IKE oraz z tytułu IKZE.</w:t>
      </w:r>
    </w:p>
    <w:p w:rsidR="00F62E47" w:rsidRDefault="00F62E47" w:rsidP="00F62E47">
      <w:pPr>
        <w:pStyle w:val="Akapitzlist"/>
        <w:spacing w:after="0" w:line="276" w:lineRule="auto"/>
        <w:ind w:left="0" w:firstLine="0"/>
        <w:rPr>
          <w:rFonts w:eastAsia="Times New Roman" w:cs="Calibri Light"/>
          <w:sz w:val="18"/>
          <w:szCs w:val="18"/>
        </w:rPr>
      </w:pPr>
      <w:r w:rsidRPr="005F2A01">
        <w:rPr>
          <w:rFonts w:eastAsia="Times New Roman" w:cs="Calibri Light"/>
          <w:sz w:val="18"/>
          <w:szCs w:val="18"/>
        </w:rPr>
        <w:t>** W przypadku SBRiR w Wołominie przedawnieniu uległy roszczeni</w:t>
      </w:r>
      <w:r>
        <w:rPr>
          <w:rFonts w:eastAsia="Times New Roman" w:cs="Calibri Light"/>
          <w:sz w:val="18"/>
          <w:szCs w:val="18"/>
        </w:rPr>
        <w:t>a 12 osób na kwotę 27,7 tys. zł</w:t>
      </w:r>
      <w:r w:rsidRPr="005F2A01">
        <w:rPr>
          <w:rFonts w:eastAsia="Times New Roman" w:cs="Calibri Light"/>
          <w:sz w:val="18"/>
          <w:szCs w:val="18"/>
        </w:rPr>
        <w:t>,</w:t>
      </w:r>
      <w:r w:rsidR="005A6833">
        <w:rPr>
          <w:rFonts w:eastAsia="Times New Roman" w:cs="Calibri Light"/>
          <w:sz w:val="18"/>
          <w:szCs w:val="18"/>
        </w:rPr>
        <w:t xml:space="preserve"> a w przypadku BS w Nadarzynie </w:t>
      </w:r>
      <w:r w:rsidRPr="005F2A01">
        <w:rPr>
          <w:rFonts w:eastAsia="Times New Roman" w:cs="Calibri Light"/>
          <w:sz w:val="18"/>
          <w:szCs w:val="18"/>
        </w:rPr>
        <w:t>roszczenia 3 osób na kwotę 3,7 tys. zł.</w:t>
      </w:r>
    </w:p>
    <w:p w:rsidR="00F62E47" w:rsidRPr="00B3203C" w:rsidRDefault="00F62E47" w:rsidP="00B3203C">
      <w:pPr>
        <w:pStyle w:val="Akapitzlist"/>
        <w:keepNext/>
        <w:spacing w:before="120" w:after="120"/>
        <w:ind w:left="357" w:firstLine="0"/>
        <w:contextualSpacing w:val="0"/>
        <w:jc w:val="left"/>
        <w:outlineLvl w:val="3"/>
        <w:rPr>
          <w:rFonts w:eastAsia="Times New Roman"/>
          <w:bCs/>
          <w:i/>
          <w:szCs w:val="28"/>
          <w:u w:val="single"/>
          <w:lang w:eastAsia="en-US"/>
        </w:rPr>
      </w:pPr>
      <w:r w:rsidRPr="005F2A01">
        <w:rPr>
          <w:rFonts w:eastAsia="Times New Roman"/>
          <w:bCs/>
          <w:i/>
          <w:szCs w:val="28"/>
          <w:u w:val="single"/>
          <w:lang w:eastAsia="en-US"/>
        </w:rPr>
        <w:t>Stan wypłat dla deponentów spółdzielczych kas oszczędnościowo-kredytowych</w:t>
      </w:r>
    </w:p>
    <w:p w:rsidR="00F62E47" w:rsidRPr="005F2A01" w:rsidRDefault="00F62E47" w:rsidP="00B3203C">
      <w:pPr>
        <w:pStyle w:val="Akapitzlist"/>
        <w:widowControl w:val="0"/>
        <w:spacing w:before="120" w:after="120"/>
        <w:ind w:left="0"/>
        <w:rPr>
          <w:rFonts w:eastAsia="Palatino Linotype" w:cs="Calibri Light"/>
          <w:lang w:eastAsia="en-US"/>
        </w:rPr>
      </w:pPr>
      <w:r w:rsidRPr="005F2A01">
        <w:rPr>
          <w:rFonts w:eastAsia="Palatino Linotype" w:cs="Calibri Light"/>
          <w:lang w:eastAsia="en-US"/>
        </w:rPr>
        <w:t xml:space="preserve">W tabeli poniżej </w:t>
      </w:r>
      <w:r w:rsidRPr="005F2A01">
        <w:rPr>
          <w:rFonts w:eastAsia="Times New Roman" w:cs="Calibri Light"/>
        </w:rPr>
        <w:t>przedstawiono</w:t>
      </w:r>
      <w:r w:rsidRPr="005F2A01">
        <w:rPr>
          <w:rFonts w:eastAsia="Palatino Linotype" w:cs="Calibri Light"/>
          <w:lang w:eastAsia="en-US"/>
        </w:rPr>
        <w:t xml:space="preserve"> informacje dotyczące wszystkich zrealizowanych wypłat dla deponentów kas (łącznie z wypłatami dokonanymi za pośrednictwem banków-agentów).</w:t>
      </w:r>
    </w:p>
    <w:p w:rsidR="00F62E47" w:rsidRDefault="00F62E47" w:rsidP="00B3203C">
      <w:pPr>
        <w:spacing w:after="0"/>
        <w:ind w:firstLine="0"/>
        <w:jc w:val="left"/>
        <w:rPr>
          <w:rFonts w:eastAsia="Times New Roman" w:cs="Calibri Light"/>
          <w:b/>
          <w:sz w:val="22"/>
          <w:szCs w:val="22"/>
        </w:rPr>
      </w:pPr>
      <w:r w:rsidRPr="005F2A01">
        <w:rPr>
          <w:rFonts w:eastAsia="Times New Roman" w:cs="Calibri Light"/>
          <w:b/>
          <w:sz w:val="22"/>
          <w:szCs w:val="22"/>
        </w:rPr>
        <w:t>Tabela 3. Zrealizowane wypłaty środków gwarantowanych dla deponentów SKOK</w:t>
      </w:r>
    </w:p>
    <w:tbl>
      <w:tblPr>
        <w:tblStyle w:val="Jasnalistaak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850"/>
        <w:gridCol w:w="851"/>
        <w:gridCol w:w="850"/>
        <w:gridCol w:w="1134"/>
        <w:gridCol w:w="1035"/>
        <w:gridCol w:w="728"/>
        <w:gridCol w:w="1050"/>
        <w:gridCol w:w="873"/>
      </w:tblGrid>
      <w:tr w:rsidR="00F62E47" w:rsidRPr="00E1751B" w:rsidTr="00F62E47">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2A5384"/>
            <w:vAlign w:val="center"/>
            <w:hideMark/>
          </w:tcPr>
          <w:p w:rsidR="00F62E47" w:rsidRPr="003D7E0D" w:rsidRDefault="00F62E47" w:rsidP="00F62E47">
            <w:pPr>
              <w:widowControl w:val="0"/>
              <w:spacing w:after="0"/>
              <w:ind w:firstLine="0"/>
              <w:jc w:val="center"/>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Nazwa SKOK</w:t>
            </w:r>
          </w:p>
        </w:tc>
        <w:tc>
          <w:tcPr>
            <w:tcW w:w="1417" w:type="dxa"/>
            <w:gridSpan w:val="2"/>
            <w:shd w:val="clear" w:color="auto" w:fill="2A5384"/>
            <w:vAlign w:val="center"/>
          </w:tcPr>
          <w:p w:rsidR="00F62E47"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Wypłaty zrealizo</w:t>
            </w:r>
          </w:p>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wane</w:t>
            </w:r>
          </w:p>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 xml:space="preserve">w </w:t>
            </w:r>
            <w:r>
              <w:rPr>
                <w:rFonts w:eastAsia="Palatino Linotype" w:cs="Calibri Light"/>
                <w:bCs w:val="0"/>
                <w:color w:val="FFFFFF"/>
                <w:sz w:val="18"/>
                <w:szCs w:val="18"/>
                <w:lang w:eastAsia="en-US"/>
              </w:rPr>
              <w:t>I</w:t>
            </w:r>
            <w:r w:rsidRPr="003D7E0D">
              <w:rPr>
                <w:rFonts w:eastAsia="Palatino Linotype" w:cs="Calibri Light"/>
                <w:bCs w:val="0"/>
                <w:color w:val="FFFFFF"/>
                <w:sz w:val="18"/>
                <w:szCs w:val="18"/>
                <w:lang w:eastAsia="en-US"/>
              </w:rPr>
              <w:t>I</w:t>
            </w:r>
            <w:r>
              <w:rPr>
                <w:rFonts w:eastAsia="Palatino Linotype" w:cs="Calibri Light"/>
                <w:bCs w:val="0"/>
                <w:color w:val="FFFFFF"/>
                <w:sz w:val="18"/>
                <w:szCs w:val="18"/>
                <w:lang w:eastAsia="en-US"/>
              </w:rPr>
              <w:t>I</w:t>
            </w:r>
            <w:r w:rsidRPr="003D7E0D">
              <w:rPr>
                <w:rFonts w:eastAsia="Palatino Linotype" w:cs="Calibri Light"/>
                <w:bCs w:val="0"/>
                <w:color w:val="FFFFFF"/>
                <w:sz w:val="18"/>
                <w:szCs w:val="18"/>
                <w:lang w:eastAsia="en-US"/>
              </w:rPr>
              <w:t xml:space="preserve"> kwartale 202</w:t>
            </w:r>
            <w:r>
              <w:rPr>
                <w:rFonts w:eastAsia="Palatino Linotype" w:cs="Calibri Light"/>
                <w:bCs w:val="0"/>
                <w:color w:val="FFFFFF"/>
                <w:sz w:val="18"/>
                <w:szCs w:val="18"/>
                <w:lang w:eastAsia="en-US"/>
              </w:rPr>
              <w:t>2</w:t>
            </w:r>
            <w:r w:rsidRPr="003D7E0D">
              <w:rPr>
                <w:rFonts w:eastAsia="Palatino Linotype" w:cs="Calibri Light"/>
                <w:bCs w:val="0"/>
                <w:color w:val="FFFFFF"/>
                <w:sz w:val="18"/>
                <w:szCs w:val="18"/>
                <w:lang w:eastAsia="en-US"/>
              </w:rPr>
              <w:t xml:space="preserve"> r.</w:t>
            </w:r>
          </w:p>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(kwota w tys. zł)</w:t>
            </w:r>
          </w:p>
        </w:tc>
        <w:tc>
          <w:tcPr>
            <w:tcW w:w="4598" w:type="dxa"/>
            <w:gridSpan w:val="5"/>
            <w:shd w:val="clear" w:color="auto" w:fill="2A5384"/>
            <w:vAlign w:val="center"/>
          </w:tcPr>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Wypłaty zrealizowane od dnia rozpoczęcia wypłat</w:t>
            </w:r>
          </w:p>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Pr>
                <w:rFonts w:eastAsia="Palatino Linotype" w:cs="Calibri Light"/>
                <w:bCs w:val="0"/>
                <w:color w:val="FFFFFF"/>
                <w:sz w:val="18"/>
                <w:szCs w:val="18"/>
                <w:lang w:eastAsia="en-US"/>
              </w:rPr>
              <w:t>do 30.09</w:t>
            </w:r>
            <w:r w:rsidRPr="003D7E0D">
              <w:rPr>
                <w:rFonts w:eastAsia="Palatino Linotype" w:cs="Calibri Light"/>
                <w:bCs w:val="0"/>
                <w:color w:val="FFFFFF"/>
                <w:sz w:val="18"/>
                <w:szCs w:val="18"/>
                <w:lang w:eastAsia="en-US"/>
              </w:rPr>
              <w:t>.202</w:t>
            </w:r>
            <w:r>
              <w:rPr>
                <w:rFonts w:eastAsia="Palatino Linotype" w:cs="Calibri Light"/>
                <w:bCs w:val="0"/>
                <w:color w:val="FFFFFF"/>
                <w:sz w:val="18"/>
                <w:szCs w:val="18"/>
                <w:lang w:eastAsia="en-US"/>
              </w:rPr>
              <w:t>2</w:t>
            </w:r>
            <w:r w:rsidRPr="003D7E0D">
              <w:rPr>
                <w:rFonts w:eastAsia="Palatino Linotype" w:cs="Calibri Light"/>
                <w:bCs w:val="0"/>
                <w:color w:val="FFFFFF"/>
                <w:sz w:val="18"/>
                <w:szCs w:val="18"/>
                <w:lang w:eastAsia="en-US"/>
              </w:rPr>
              <w:t xml:space="preserve"> r.</w:t>
            </w:r>
          </w:p>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(kwota w tys. zł)</w:t>
            </w:r>
          </w:p>
        </w:tc>
        <w:tc>
          <w:tcPr>
            <w:tcW w:w="1923" w:type="dxa"/>
            <w:gridSpan w:val="2"/>
            <w:shd w:val="clear" w:color="auto" w:fill="2A5384"/>
            <w:vAlign w:val="center"/>
          </w:tcPr>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 xml:space="preserve">Zobowiązania Funduszu </w:t>
            </w:r>
            <w:r w:rsidRPr="003D7E0D">
              <w:rPr>
                <w:rFonts w:eastAsia="Palatino Linotype" w:cs="Calibri Light"/>
                <w:bCs w:val="0"/>
                <w:color w:val="FFFFFF"/>
                <w:sz w:val="18"/>
                <w:szCs w:val="18"/>
                <w:lang w:eastAsia="en-US"/>
              </w:rPr>
              <w:br/>
              <w:t>na 3</w:t>
            </w:r>
            <w:r>
              <w:rPr>
                <w:rFonts w:eastAsia="Palatino Linotype" w:cs="Calibri Light"/>
                <w:bCs w:val="0"/>
                <w:color w:val="FFFFFF"/>
                <w:sz w:val="18"/>
                <w:szCs w:val="18"/>
                <w:lang w:eastAsia="en-US"/>
              </w:rPr>
              <w:t>0</w:t>
            </w:r>
            <w:r w:rsidRPr="003D7E0D">
              <w:rPr>
                <w:rFonts w:eastAsia="Palatino Linotype" w:cs="Calibri Light"/>
                <w:bCs w:val="0"/>
                <w:color w:val="FFFFFF"/>
                <w:sz w:val="18"/>
                <w:szCs w:val="18"/>
                <w:lang w:eastAsia="en-US"/>
              </w:rPr>
              <w:t>.</w:t>
            </w:r>
            <w:r>
              <w:rPr>
                <w:rFonts w:eastAsia="Palatino Linotype" w:cs="Calibri Light"/>
                <w:bCs w:val="0"/>
                <w:color w:val="FFFFFF"/>
                <w:sz w:val="18"/>
                <w:szCs w:val="18"/>
                <w:lang w:eastAsia="en-US"/>
              </w:rPr>
              <w:t>09</w:t>
            </w:r>
            <w:r w:rsidRPr="003D7E0D">
              <w:rPr>
                <w:rFonts w:eastAsia="Palatino Linotype" w:cs="Calibri Light"/>
                <w:bCs w:val="0"/>
                <w:color w:val="FFFFFF"/>
                <w:sz w:val="18"/>
                <w:szCs w:val="18"/>
                <w:lang w:eastAsia="en-US"/>
              </w:rPr>
              <w:t>.202</w:t>
            </w:r>
            <w:r>
              <w:rPr>
                <w:rFonts w:eastAsia="Palatino Linotype" w:cs="Calibri Light"/>
                <w:bCs w:val="0"/>
                <w:color w:val="FFFFFF"/>
                <w:sz w:val="18"/>
                <w:szCs w:val="18"/>
                <w:lang w:eastAsia="en-US"/>
              </w:rPr>
              <w:t>2</w:t>
            </w:r>
            <w:r w:rsidRPr="003D7E0D">
              <w:rPr>
                <w:rFonts w:eastAsia="Palatino Linotype" w:cs="Calibri Light"/>
                <w:bCs w:val="0"/>
                <w:color w:val="FFFFFF"/>
                <w:sz w:val="18"/>
                <w:szCs w:val="18"/>
                <w:lang w:eastAsia="en-US"/>
              </w:rPr>
              <w:t xml:space="preserve"> r.</w:t>
            </w:r>
          </w:p>
          <w:p w:rsidR="00F62E47" w:rsidRPr="003D7E0D" w:rsidRDefault="00F62E47" w:rsidP="00F62E47">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Cs w:val="0"/>
                <w:color w:val="FFFFFF"/>
                <w:sz w:val="18"/>
                <w:szCs w:val="18"/>
                <w:lang w:eastAsia="en-US"/>
              </w:rPr>
            </w:pPr>
            <w:r w:rsidRPr="003D7E0D">
              <w:rPr>
                <w:rFonts w:eastAsia="Palatino Linotype" w:cs="Calibri Light"/>
                <w:bCs w:val="0"/>
                <w:color w:val="FFFFFF"/>
                <w:sz w:val="18"/>
                <w:szCs w:val="18"/>
                <w:lang w:eastAsia="en-US"/>
              </w:rPr>
              <w:t>(kwota w tys. zł)</w:t>
            </w:r>
          </w:p>
        </w:tc>
      </w:tr>
      <w:tr w:rsidR="00F62E47" w:rsidRPr="00E1751B" w:rsidTr="00F62E47">
        <w:trPr>
          <w:cnfStyle w:val="100000000000" w:firstRow="1" w:lastRow="0" w:firstColumn="0" w:lastColumn="0" w:oddVBand="0" w:evenVBand="0" w:oddHBand="0" w:evenHBand="0" w:firstRowFirstColumn="0" w:firstRowLastColumn="0" w:lastRowFirstColumn="0" w:lastRowLastColumn="0"/>
          <w:trHeight w:val="208"/>
          <w:tblHeader/>
        </w:trPr>
        <w:tc>
          <w:tcPr>
            <w:cnfStyle w:val="001000000000" w:firstRow="0" w:lastRow="0" w:firstColumn="1" w:lastColumn="0" w:oddVBand="0" w:evenVBand="0" w:oddHBand="0" w:evenHBand="0" w:firstRowFirstColumn="0" w:firstRowLastColumn="0" w:lastRowFirstColumn="0" w:lastRowLastColumn="0"/>
            <w:tcW w:w="1413" w:type="dxa"/>
            <w:vMerge/>
            <w:tcBorders>
              <w:top w:val="single" w:sz="4" w:space="0" w:color="auto"/>
              <w:left w:val="single" w:sz="4" w:space="0" w:color="auto"/>
              <w:bottom w:val="single" w:sz="4" w:space="0" w:color="auto"/>
            </w:tcBorders>
            <w:shd w:val="clear" w:color="auto" w:fill="2A5384"/>
            <w:hideMark/>
          </w:tcPr>
          <w:p w:rsidR="00F62E47" w:rsidRPr="003D7E0D" w:rsidRDefault="00F62E47" w:rsidP="00F62E47">
            <w:pPr>
              <w:spacing w:after="0"/>
              <w:ind w:firstLine="30"/>
              <w:rPr>
                <w:rFonts w:eastAsia="Palatino Linotype" w:cs="Calibri Light"/>
                <w:bCs w:val="0"/>
                <w:color w:val="000000"/>
                <w:sz w:val="18"/>
                <w:szCs w:val="18"/>
                <w:lang w:eastAsia="en-US"/>
              </w:rPr>
            </w:pPr>
          </w:p>
        </w:tc>
        <w:tc>
          <w:tcPr>
            <w:tcW w:w="567" w:type="dxa"/>
            <w:vMerge w:val="restart"/>
            <w:tcBorders>
              <w:top w:val="single" w:sz="4" w:space="0" w:color="auto"/>
              <w:bottom w:val="single" w:sz="4" w:space="0" w:color="auto"/>
            </w:tcBorders>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3D7E0D">
              <w:rPr>
                <w:rFonts w:eastAsia="Palatino Linotype" w:cs="Calibri Light"/>
                <w:b w:val="0"/>
                <w:color w:val="000000"/>
                <w:sz w:val="18"/>
                <w:szCs w:val="18"/>
                <w:lang w:eastAsia="en-US"/>
              </w:rPr>
              <w:t>Liczba</w:t>
            </w:r>
          </w:p>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bCs w:val="0"/>
                <w:color w:val="000000"/>
                <w:sz w:val="18"/>
                <w:szCs w:val="18"/>
                <w:lang w:eastAsia="en-US"/>
              </w:rPr>
            </w:pPr>
            <w:r w:rsidRPr="003D7E0D">
              <w:rPr>
                <w:rFonts w:eastAsia="Palatino Linotype" w:cs="Calibri Light"/>
                <w:b w:val="0"/>
                <w:color w:val="000000"/>
                <w:sz w:val="18"/>
                <w:szCs w:val="18"/>
                <w:lang w:eastAsia="en-US"/>
              </w:rPr>
              <w:t>Deponentów</w:t>
            </w:r>
          </w:p>
        </w:tc>
        <w:tc>
          <w:tcPr>
            <w:tcW w:w="850" w:type="dxa"/>
            <w:vMerge w:val="restart"/>
            <w:tcBorders>
              <w:top w:val="single" w:sz="4" w:space="0" w:color="auto"/>
              <w:bottom w:val="single" w:sz="4" w:space="0" w:color="auto"/>
            </w:tcBorders>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3D7E0D">
              <w:rPr>
                <w:rFonts w:eastAsia="Palatino Linotype" w:cs="Calibri Light"/>
                <w:b w:val="0"/>
                <w:color w:val="000000"/>
                <w:sz w:val="18"/>
                <w:szCs w:val="18"/>
                <w:lang w:eastAsia="en-US"/>
              </w:rPr>
              <w:t>Kwota wypłat</w:t>
            </w:r>
          </w:p>
        </w:tc>
        <w:tc>
          <w:tcPr>
            <w:tcW w:w="1701" w:type="dxa"/>
            <w:gridSpan w:val="2"/>
            <w:tcBorders>
              <w:top w:val="single" w:sz="4" w:space="0" w:color="auto"/>
              <w:bottom w:val="single" w:sz="4" w:space="0" w:color="auto"/>
            </w:tcBorders>
            <w:shd w:val="clear" w:color="auto" w:fill="DBE5F1"/>
            <w:vAlign w:val="center"/>
          </w:tcPr>
          <w:p w:rsidR="00F62E47" w:rsidRPr="003D7E0D" w:rsidRDefault="00F62E47" w:rsidP="00F62E47">
            <w:pPr>
              <w:spacing w:after="0"/>
              <w:ind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bCs w:val="0"/>
                <w:color w:val="000000"/>
                <w:sz w:val="18"/>
                <w:szCs w:val="18"/>
                <w:lang w:eastAsia="en-US"/>
              </w:rPr>
            </w:pPr>
            <w:r w:rsidRPr="003D7E0D">
              <w:rPr>
                <w:rFonts w:eastAsia="Palatino Linotype" w:cs="Calibri Light"/>
                <w:b w:val="0"/>
                <w:color w:val="000000"/>
                <w:sz w:val="18"/>
                <w:szCs w:val="18"/>
                <w:lang w:eastAsia="en-US"/>
              </w:rPr>
              <w:t>Liczba deponentów</w:t>
            </w:r>
          </w:p>
        </w:tc>
        <w:tc>
          <w:tcPr>
            <w:tcW w:w="2169" w:type="dxa"/>
            <w:gridSpan w:val="2"/>
            <w:tcBorders>
              <w:top w:val="single" w:sz="4" w:space="0" w:color="auto"/>
              <w:bottom w:val="single" w:sz="4" w:space="0" w:color="auto"/>
            </w:tcBorders>
            <w:shd w:val="clear" w:color="auto" w:fill="DBE5F1"/>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bCs w:val="0"/>
                <w:color w:val="000000"/>
                <w:sz w:val="18"/>
                <w:szCs w:val="18"/>
                <w:lang w:eastAsia="en-US"/>
              </w:rPr>
            </w:pPr>
            <w:r w:rsidRPr="003D7E0D">
              <w:rPr>
                <w:rFonts w:eastAsia="Palatino Linotype" w:cs="Calibri Light"/>
                <w:b w:val="0"/>
                <w:color w:val="000000"/>
                <w:sz w:val="18"/>
                <w:szCs w:val="18"/>
                <w:lang w:eastAsia="en-US"/>
              </w:rPr>
              <w:t>Kwota wypłaty</w:t>
            </w:r>
          </w:p>
        </w:tc>
        <w:tc>
          <w:tcPr>
            <w:tcW w:w="728" w:type="dxa"/>
            <w:vMerge w:val="restart"/>
            <w:tcBorders>
              <w:top w:val="single" w:sz="4" w:space="0" w:color="auto"/>
              <w:bottom w:val="single" w:sz="4" w:space="0" w:color="auto"/>
            </w:tcBorders>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3D7E0D">
              <w:rPr>
                <w:rFonts w:eastAsia="Palatino Linotype" w:cs="Calibri Light"/>
                <w:b w:val="0"/>
                <w:color w:val="000000"/>
                <w:sz w:val="18"/>
                <w:szCs w:val="18"/>
                <w:lang w:eastAsia="en-US"/>
              </w:rPr>
              <w:t>Zaawansowanie</w:t>
            </w:r>
          </w:p>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bCs w:val="0"/>
                <w:color w:val="000000"/>
                <w:sz w:val="18"/>
                <w:szCs w:val="18"/>
                <w:lang w:eastAsia="en-US"/>
              </w:rPr>
            </w:pPr>
            <w:r w:rsidRPr="003D7E0D">
              <w:rPr>
                <w:rFonts w:eastAsia="Palatino Linotype" w:cs="Calibri Light"/>
                <w:b w:val="0"/>
                <w:color w:val="000000"/>
                <w:sz w:val="18"/>
                <w:szCs w:val="18"/>
                <w:lang w:eastAsia="en-US"/>
              </w:rPr>
              <w:t>wypłat</w:t>
            </w:r>
          </w:p>
        </w:tc>
        <w:tc>
          <w:tcPr>
            <w:tcW w:w="1050" w:type="dxa"/>
            <w:vMerge w:val="restart"/>
            <w:tcBorders>
              <w:top w:val="single" w:sz="4" w:space="0" w:color="auto"/>
              <w:bottom w:val="single" w:sz="4" w:space="0" w:color="auto"/>
            </w:tcBorders>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bCs w:val="0"/>
                <w:color w:val="000000"/>
                <w:sz w:val="18"/>
                <w:szCs w:val="18"/>
                <w:lang w:eastAsia="en-US"/>
              </w:rPr>
            </w:pPr>
            <w:r w:rsidRPr="003D7E0D">
              <w:rPr>
                <w:rFonts w:eastAsia="Palatino Linotype" w:cs="Calibri Light"/>
                <w:b w:val="0"/>
                <w:color w:val="000000"/>
                <w:sz w:val="18"/>
                <w:szCs w:val="18"/>
                <w:lang w:eastAsia="en-US"/>
              </w:rPr>
              <w:t>Liczba deponentów, którzy nie odebrali wypłat</w:t>
            </w:r>
          </w:p>
        </w:tc>
        <w:tc>
          <w:tcPr>
            <w:tcW w:w="873" w:type="dxa"/>
            <w:vMerge w:val="restart"/>
            <w:tcBorders>
              <w:top w:val="single" w:sz="4" w:space="0" w:color="auto"/>
              <w:bottom w:val="single" w:sz="4" w:space="0" w:color="auto"/>
              <w:right w:val="single" w:sz="4" w:space="0" w:color="auto"/>
            </w:tcBorders>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bCs w:val="0"/>
                <w:color w:val="000000"/>
                <w:sz w:val="18"/>
                <w:szCs w:val="18"/>
                <w:lang w:eastAsia="en-US"/>
              </w:rPr>
            </w:pPr>
            <w:r w:rsidRPr="003D7E0D">
              <w:rPr>
                <w:rFonts w:eastAsia="Palatino Linotype" w:cs="Calibri Light"/>
                <w:b w:val="0"/>
                <w:color w:val="000000"/>
                <w:sz w:val="18"/>
                <w:szCs w:val="18"/>
                <w:lang w:eastAsia="en-US"/>
              </w:rPr>
              <w:t>Kwota do wypłaty</w:t>
            </w:r>
            <w:r w:rsidRPr="003D7E0D">
              <w:rPr>
                <w:rFonts w:eastAsia="Palatino Linotype" w:cs="Calibri Light"/>
                <w:b w:val="0"/>
                <w:color w:val="000000"/>
                <w:sz w:val="18"/>
                <w:szCs w:val="18"/>
                <w:vertAlign w:val="superscript"/>
                <w:lang w:eastAsia="en-US"/>
              </w:rPr>
              <w:footnoteReference w:id="6"/>
            </w:r>
          </w:p>
        </w:tc>
      </w:tr>
      <w:tr w:rsidR="00F62E47" w:rsidRPr="00E1751B" w:rsidTr="00F62E47">
        <w:trPr>
          <w:cnfStyle w:val="100000000000" w:firstRow="1" w:lastRow="0" w:firstColumn="0" w:lastColumn="0" w:oddVBand="0" w:evenVBand="0" w:oddHBand="0" w:evenHBand="0" w:firstRowFirstColumn="0" w:firstRowLastColumn="0" w:lastRowFirstColumn="0" w:lastRowLastColumn="0"/>
          <w:trHeight w:val="1143"/>
          <w:tblHeader/>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2A5384"/>
          </w:tcPr>
          <w:p w:rsidR="00F62E47" w:rsidRPr="003D7E0D" w:rsidRDefault="00F62E47" w:rsidP="00F62E47">
            <w:pPr>
              <w:spacing w:after="0"/>
              <w:ind w:firstLine="30"/>
              <w:rPr>
                <w:rFonts w:eastAsia="Palatino Linotype" w:cs="Calibri Light"/>
                <w:b w:val="0"/>
                <w:bCs w:val="0"/>
                <w:color w:val="000000"/>
                <w:sz w:val="18"/>
                <w:szCs w:val="18"/>
                <w:lang w:eastAsia="en-US"/>
              </w:rPr>
            </w:pPr>
          </w:p>
        </w:tc>
        <w:tc>
          <w:tcPr>
            <w:tcW w:w="567" w:type="dxa"/>
            <w:vMerge/>
            <w:textDirection w:val="btL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p>
        </w:tc>
        <w:tc>
          <w:tcPr>
            <w:tcW w:w="850" w:type="dxa"/>
            <w:vMerge/>
            <w:textDirection w:val="btL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p>
        </w:tc>
        <w:tc>
          <w:tcPr>
            <w:tcW w:w="851" w:type="dxa"/>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3D7E0D">
              <w:rPr>
                <w:rFonts w:eastAsia="Palatino Linotype" w:cs="Calibri Light"/>
                <w:b w:val="0"/>
                <w:color w:val="000000"/>
                <w:sz w:val="18"/>
                <w:szCs w:val="18"/>
                <w:lang w:eastAsia="en-US"/>
              </w:rPr>
              <w:t>Ogółem</w:t>
            </w:r>
          </w:p>
        </w:tc>
        <w:tc>
          <w:tcPr>
            <w:tcW w:w="850" w:type="dxa"/>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3D7E0D">
              <w:rPr>
                <w:rFonts w:eastAsia="Palatino Linotype" w:cs="Calibri Light"/>
                <w:b w:val="0"/>
                <w:color w:val="000000"/>
                <w:sz w:val="18"/>
                <w:szCs w:val="18"/>
                <w:lang w:eastAsia="en-US"/>
              </w:rPr>
              <w:t>Obsłużonych przez Biuro Funduszu</w:t>
            </w:r>
          </w:p>
        </w:tc>
        <w:tc>
          <w:tcPr>
            <w:tcW w:w="1134" w:type="dxa"/>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3D7E0D">
              <w:rPr>
                <w:rFonts w:eastAsia="Palatino Linotype" w:cs="Calibri Light"/>
                <w:b w:val="0"/>
                <w:color w:val="000000"/>
                <w:sz w:val="18"/>
                <w:szCs w:val="18"/>
                <w:lang w:eastAsia="en-US"/>
              </w:rPr>
              <w:t>Ogółem</w:t>
            </w:r>
          </w:p>
        </w:tc>
        <w:tc>
          <w:tcPr>
            <w:tcW w:w="1035" w:type="dxa"/>
            <w:shd w:val="clear" w:color="auto" w:fill="DBE5F1"/>
            <w:textDirection w:val="btLr"/>
            <w:vAlign w:val="cente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3D7E0D">
              <w:rPr>
                <w:rFonts w:eastAsia="Palatino Linotype" w:cs="Calibri Light"/>
                <w:b w:val="0"/>
                <w:color w:val="000000"/>
                <w:sz w:val="18"/>
                <w:szCs w:val="18"/>
                <w:lang w:eastAsia="en-US"/>
              </w:rPr>
              <w:t>Zrealizowana przez Biuro Funduszu</w:t>
            </w:r>
          </w:p>
        </w:tc>
        <w:tc>
          <w:tcPr>
            <w:tcW w:w="728" w:type="dxa"/>
            <w:vMerge/>
            <w:textDirection w:val="btL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p>
        </w:tc>
        <w:tc>
          <w:tcPr>
            <w:tcW w:w="1050" w:type="dxa"/>
            <w:vMerge/>
            <w:textDirection w:val="btL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p>
        </w:tc>
        <w:tc>
          <w:tcPr>
            <w:tcW w:w="873" w:type="dxa"/>
            <w:vMerge/>
            <w:textDirection w:val="btLr"/>
          </w:tcPr>
          <w:p w:rsidR="00F62E47" w:rsidRPr="003D7E0D" w:rsidRDefault="00F62E47" w:rsidP="00F62E47">
            <w:pPr>
              <w:spacing w:after="0"/>
              <w:ind w:left="56" w:right="56" w:firstLine="3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p>
        </w:tc>
      </w:tr>
      <w:tr w:rsidR="00F62E47" w:rsidRPr="00175114" w:rsidTr="00F62E4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tcBorders>
            <w:vAlign w:val="center"/>
          </w:tcPr>
          <w:p w:rsidR="00F62E47" w:rsidRPr="00175114" w:rsidRDefault="00F62E47" w:rsidP="00F62E47">
            <w:pPr>
              <w:spacing w:after="0"/>
              <w:ind w:firstLine="30"/>
              <w:rPr>
                <w:rFonts w:eastAsia="Palatino Linotype" w:cs="Calibri Light"/>
                <w:b w:val="0"/>
                <w:bCs w:val="0"/>
                <w:color w:val="000000"/>
                <w:sz w:val="18"/>
                <w:szCs w:val="18"/>
                <w:lang w:eastAsia="en-US"/>
              </w:rPr>
            </w:pPr>
            <w:r w:rsidRPr="00175114">
              <w:rPr>
                <w:rFonts w:cs="Calibri Light"/>
                <w:b w:val="0"/>
                <w:color w:val="000000"/>
                <w:sz w:val="18"/>
                <w:szCs w:val="18"/>
              </w:rPr>
              <w:t>„Wybrzeże”</w:t>
            </w:r>
          </w:p>
        </w:tc>
        <w:tc>
          <w:tcPr>
            <w:tcW w:w="567" w:type="dxa"/>
            <w:tcBorders>
              <w:top w:val="single" w:sz="4" w:space="0" w:color="auto"/>
              <w:bottom w:val="single" w:sz="4" w:space="0" w:color="auto"/>
            </w:tcBorders>
          </w:tcPr>
          <w:p w:rsidR="00F62E47" w:rsidRPr="00A50DF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FF0000"/>
                <w:sz w:val="18"/>
                <w:szCs w:val="18"/>
              </w:rPr>
            </w:pPr>
            <w:r w:rsidRPr="009F6196">
              <w:rPr>
                <w:rFonts w:cs="Calibri Light"/>
                <w:sz w:val="18"/>
                <w:szCs w:val="18"/>
              </w:rPr>
              <w:t>4</w:t>
            </w:r>
          </w:p>
        </w:tc>
        <w:tc>
          <w:tcPr>
            <w:tcW w:w="850" w:type="dxa"/>
            <w:tcBorders>
              <w:top w:val="single" w:sz="4" w:space="0" w:color="auto"/>
              <w:bottom w:val="single" w:sz="4" w:space="0" w:color="auto"/>
            </w:tcBorders>
          </w:tcPr>
          <w:p w:rsidR="00F62E47" w:rsidRPr="00A50DF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FF0000"/>
                <w:sz w:val="18"/>
                <w:szCs w:val="18"/>
              </w:rPr>
            </w:pPr>
            <w:r w:rsidRPr="009F6196">
              <w:rPr>
                <w:rFonts w:cs="Calibri Light"/>
                <w:sz w:val="18"/>
                <w:szCs w:val="18"/>
              </w:rPr>
              <w:t>4,6</w:t>
            </w:r>
          </w:p>
        </w:tc>
        <w:tc>
          <w:tcPr>
            <w:tcW w:w="851"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2 636</w:t>
            </w:r>
          </w:p>
        </w:tc>
        <w:tc>
          <w:tcPr>
            <w:tcW w:w="850" w:type="dxa"/>
            <w:tcBorders>
              <w:top w:val="single" w:sz="4" w:space="0" w:color="auto"/>
              <w:bottom w:val="single" w:sz="4" w:space="0" w:color="auto"/>
            </w:tcBorders>
          </w:tcPr>
          <w:p w:rsidR="00F62E47" w:rsidRPr="00175114" w:rsidRDefault="00F62E47" w:rsidP="00F62E47">
            <w:pPr>
              <w:spacing w:after="0"/>
              <w:ind w:right="23"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309</w:t>
            </w:r>
          </w:p>
        </w:tc>
        <w:tc>
          <w:tcPr>
            <w:tcW w:w="1134"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119 891,1</w:t>
            </w:r>
          </w:p>
        </w:tc>
        <w:tc>
          <w:tcPr>
            <w:tcW w:w="1035"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8 939,8</w:t>
            </w:r>
          </w:p>
        </w:tc>
        <w:tc>
          <w:tcPr>
            <w:tcW w:w="728" w:type="dxa"/>
            <w:tcBorders>
              <w:top w:val="single" w:sz="4" w:space="0" w:color="auto"/>
              <w:bottom w:val="single" w:sz="4" w:space="0" w:color="auto"/>
            </w:tcBorders>
          </w:tcPr>
          <w:p w:rsidR="00F62E47" w:rsidRPr="00175114" w:rsidRDefault="00F62E47" w:rsidP="00F62E47">
            <w:pPr>
              <w:spacing w:after="0"/>
              <w:ind w:right="23" w:firstLine="30"/>
              <w:jc w:val="center"/>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99,2%</w:t>
            </w:r>
          </w:p>
        </w:tc>
        <w:tc>
          <w:tcPr>
            <w:tcW w:w="10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5 060</w:t>
            </w:r>
          </w:p>
        </w:tc>
        <w:tc>
          <w:tcPr>
            <w:tcW w:w="873" w:type="dxa"/>
            <w:tcBorders>
              <w:top w:val="single" w:sz="4" w:space="0" w:color="auto"/>
              <w:bottom w:val="single" w:sz="4" w:space="0" w:color="auto"/>
              <w:right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920,0</w:t>
            </w:r>
          </w:p>
        </w:tc>
      </w:tr>
      <w:tr w:rsidR="00F62E47" w:rsidRPr="00175114" w:rsidTr="00F62E47">
        <w:trPr>
          <w:trHeight w:val="179"/>
        </w:trPr>
        <w:tc>
          <w:tcPr>
            <w:cnfStyle w:val="001000000000" w:firstRow="0" w:lastRow="0" w:firstColumn="1" w:lastColumn="0" w:oddVBand="0" w:evenVBand="0" w:oddHBand="0" w:evenHBand="0" w:firstRowFirstColumn="0" w:firstRowLastColumn="0" w:lastRowFirstColumn="0" w:lastRowLastColumn="0"/>
            <w:tcW w:w="1413" w:type="dxa"/>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„Nike”</w:t>
            </w:r>
          </w:p>
        </w:tc>
        <w:tc>
          <w:tcPr>
            <w:tcW w:w="567" w:type="dxa"/>
            <w:shd w:val="clear" w:color="auto" w:fill="auto"/>
          </w:tcPr>
          <w:p w:rsidR="00F62E47" w:rsidRPr="00A50DF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FF0000"/>
                <w:sz w:val="18"/>
                <w:szCs w:val="18"/>
              </w:rPr>
            </w:pPr>
            <w:r w:rsidRPr="004A2669">
              <w:rPr>
                <w:rFonts w:cs="Calibri Light"/>
                <w:sz w:val="18"/>
                <w:szCs w:val="18"/>
              </w:rPr>
              <w:t>7</w:t>
            </w:r>
          </w:p>
        </w:tc>
        <w:tc>
          <w:tcPr>
            <w:tcW w:w="850" w:type="dxa"/>
            <w:shd w:val="clear" w:color="auto" w:fill="auto"/>
          </w:tcPr>
          <w:p w:rsidR="00F62E47" w:rsidRPr="00A50DF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FF0000"/>
                <w:sz w:val="18"/>
                <w:szCs w:val="18"/>
              </w:rPr>
            </w:pPr>
            <w:r w:rsidRPr="004A2669">
              <w:rPr>
                <w:rFonts w:cs="Calibri Light"/>
                <w:sz w:val="18"/>
                <w:szCs w:val="18"/>
              </w:rPr>
              <w:t>446,2</w:t>
            </w:r>
          </w:p>
        </w:tc>
        <w:tc>
          <w:tcPr>
            <w:tcW w:w="851"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 xml:space="preserve"> </w:t>
            </w:r>
            <w:r w:rsidRPr="00175114">
              <w:rPr>
                <w:rFonts w:cs="Calibri Light"/>
                <w:color w:val="000000"/>
                <w:sz w:val="18"/>
                <w:szCs w:val="18"/>
              </w:rPr>
              <w:t>3 1</w:t>
            </w:r>
            <w:r>
              <w:rPr>
                <w:rFonts w:cs="Calibri Light"/>
                <w:color w:val="000000"/>
                <w:sz w:val="18"/>
                <w:szCs w:val="18"/>
              </w:rPr>
              <w:t>33</w:t>
            </w:r>
          </w:p>
        </w:tc>
        <w:tc>
          <w:tcPr>
            <w:tcW w:w="850" w:type="dxa"/>
          </w:tcPr>
          <w:p w:rsidR="00F62E47" w:rsidRPr="00175114" w:rsidRDefault="00F62E47" w:rsidP="00F62E47">
            <w:pPr>
              <w:spacing w:after="0"/>
              <w:ind w:right="23"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26</w:t>
            </w:r>
            <w:r>
              <w:rPr>
                <w:rFonts w:cs="Calibri Light"/>
                <w:color w:val="000000"/>
                <w:sz w:val="18"/>
                <w:szCs w:val="18"/>
              </w:rPr>
              <w:t>7</w:t>
            </w:r>
          </w:p>
        </w:tc>
        <w:tc>
          <w:tcPr>
            <w:tcW w:w="1134"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 xml:space="preserve"> </w:t>
            </w:r>
            <w:r w:rsidRPr="00175114">
              <w:rPr>
                <w:rFonts w:cs="Calibri Light"/>
                <w:color w:val="000000"/>
                <w:sz w:val="18"/>
                <w:szCs w:val="18"/>
              </w:rPr>
              <w:t>112</w:t>
            </w:r>
            <w:r>
              <w:rPr>
                <w:rFonts w:cs="Calibri Light"/>
                <w:color w:val="000000"/>
                <w:sz w:val="18"/>
                <w:szCs w:val="18"/>
              </w:rPr>
              <w:t> 771,5</w:t>
            </w:r>
          </w:p>
        </w:tc>
        <w:tc>
          <w:tcPr>
            <w:tcW w:w="1035"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w:t>
            </w:r>
            <w:r>
              <w:rPr>
                <w:rFonts w:cs="Calibri Light"/>
                <w:color w:val="000000"/>
                <w:sz w:val="18"/>
                <w:szCs w:val="18"/>
              </w:rPr>
              <w:t>3 020,4</w:t>
            </w:r>
          </w:p>
        </w:tc>
        <w:tc>
          <w:tcPr>
            <w:tcW w:w="728" w:type="dxa"/>
          </w:tcPr>
          <w:p w:rsidR="00F62E47" w:rsidRPr="00175114" w:rsidRDefault="00F62E47" w:rsidP="00F62E47">
            <w:pPr>
              <w:spacing w:after="0"/>
              <w:ind w:right="23" w:firstLine="30"/>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sidDel="009B2A7A">
              <w:rPr>
                <w:rFonts w:cs="Calibri Light"/>
                <w:color w:val="000000"/>
                <w:sz w:val="18"/>
                <w:szCs w:val="18"/>
              </w:rPr>
              <w:t>98,</w:t>
            </w:r>
            <w:r>
              <w:rPr>
                <w:rFonts w:cs="Calibri Light"/>
                <w:color w:val="000000"/>
                <w:sz w:val="18"/>
                <w:szCs w:val="18"/>
              </w:rPr>
              <w:t>5</w:t>
            </w:r>
            <w:r w:rsidRPr="00175114">
              <w:rPr>
                <w:rFonts w:cs="Calibri Light"/>
                <w:color w:val="000000"/>
                <w:sz w:val="18"/>
                <w:szCs w:val="18"/>
              </w:rPr>
              <w:t>%</w:t>
            </w:r>
          </w:p>
        </w:tc>
        <w:tc>
          <w:tcPr>
            <w:tcW w:w="10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 xml:space="preserve"> </w:t>
            </w:r>
            <w:r w:rsidRPr="00175114" w:rsidDel="009B2A7A">
              <w:rPr>
                <w:rFonts w:cs="Calibri Light"/>
                <w:color w:val="000000"/>
                <w:sz w:val="18"/>
                <w:szCs w:val="18"/>
              </w:rPr>
              <w:t xml:space="preserve">7 </w:t>
            </w:r>
            <w:r w:rsidRPr="00175114">
              <w:rPr>
                <w:rFonts w:cs="Calibri Light"/>
                <w:color w:val="000000"/>
                <w:sz w:val="18"/>
                <w:szCs w:val="18"/>
              </w:rPr>
              <w:t>31</w:t>
            </w:r>
            <w:r>
              <w:rPr>
                <w:rFonts w:cs="Calibri Light"/>
                <w:color w:val="000000"/>
                <w:sz w:val="18"/>
                <w:szCs w:val="18"/>
              </w:rPr>
              <w:t>0</w:t>
            </w:r>
          </w:p>
        </w:tc>
        <w:tc>
          <w:tcPr>
            <w:tcW w:w="873"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w:t>
            </w:r>
            <w:r>
              <w:rPr>
                <w:rFonts w:cs="Calibri Light"/>
                <w:color w:val="000000"/>
                <w:sz w:val="18"/>
                <w:szCs w:val="18"/>
              </w:rPr>
              <w:t>1 674,3</w:t>
            </w:r>
          </w:p>
        </w:tc>
      </w:tr>
      <w:tr w:rsidR="00F62E47" w:rsidRPr="00175114" w:rsidTr="00F62E4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tcBorders>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Twoja</w:t>
            </w:r>
          </w:p>
        </w:tc>
        <w:tc>
          <w:tcPr>
            <w:tcW w:w="567" w:type="dxa"/>
            <w:tcBorders>
              <w:top w:val="single" w:sz="4" w:space="0" w:color="auto"/>
              <w:bottom w:val="single" w:sz="4" w:space="0" w:color="auto"/>
            </w:tcBorders>
          </w:tcPr>
          <w:p w:rsidR="00F62E47" w:rsidRPr="00234079"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234079">
              <w:rPr>
                <w:rFonts w:cs="Calibri Light"/>
                <w:sz w:val="18"/>
                <w:szCs w:val="18"/>
              </w:rPr>
              <w:t>10</w:t>
            </w:r>
          </w:p>
        </w:tc>
        <w:tc>
          <w:tcPr>
            <w:tcW w:w="850" w:type="dxa"/>
            <w:tcBorders>
              <w:top w:val="single" w:sz="4" w:space="0" w:color="auto"/>
              <w:bottom w:val="single" w:sz="4" w:space="0" w:color="auto"/>
            </w:tcBorders>
          </w:tcPr>
          <w:p w:rsidR="00F62E47" w:rsidRPr="00234079"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234079">
              <w:rPr>
                <w:rFonts w:cs="Calibri Light"/>
                <w:sz w:val="18"/>
                <w:szCs w:val="18"/>
              </w:rPr>
              <w:t>289,1</w:t>
            </w:r>
          </w:p>
        </w:tc>
        <w:tc>
          <w:tcPr>
            <w:tcW w:w="851"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 xml:space="preserve"> 4 700</w:t>
            </w:r>
          </w:p>
        </w:tc>
        <w:tc>
          <w:tcPr>
            <w:tcW w:w="850" w:type="dxa"/>
            <w:tcBorders>
              <w:top w:val="single" w:sz="4" w:space="0" w:color="auto"/>
              <w:bottom w:val="single" w:sz="4" w:space="0" w:color="auto"/>
            </w:tcBorders>
          </w:tcPr>
          <w:p w:rsidR="00F62E47" w:rsidRPr="00175114" w:rsidRDefault="00F62E47" w:rsidP="00F62E47">
            <w:pPr>
              <w:spacing w:after="0"/>
              <w:ind w:right="23"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 xml:space="preserve"> 401</w:t>
            </w:r>
          </w:p>
        </w:tc>
        <w:tc>
          <w:tcPr>
            <w:tcW w:w="1134"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w:t>
            </w:r>
            <w:r>
              <w:rPr>
                <w:rFonts w:cs="Calibri Light"/>
                <w:color w:val="000000"/>
                <w:sz w:val="18"/>
                <w:szCs w:val="18"/>
              </w:rPr>
              <w:t>163 900,0</w:t>
            </w:r>
          </w:p>
        </w:tc>
        <w:tc>
          <w:tcPr>
            <w:tcW w:w="1035"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 xml:space="preserve"> 13 465,3</w:t>
            </w:r>
          </w:p>
        </w:tc>
        <w:tc>
          <w:tcPr>
            <w:tcW w:w="728" w:type="dxa"/>
            <w:tcBorders>
              <w:top w:val="single" w:sz="4" w:space="0" w:color="auto"/>
              <w:bottom w:val="single" w:sz="4" w:space="0" w:color="auto"/>
            </w:tcBorders>
          </w:tcPr>
          <w:p w:rsidR="00F62E47" w:rsidRPr="00175114" w:rsidRDefault="00F62E47" w:rsidP="00F62E47">
            <w:pPr>
              <w:spacing w:after="0"/>
              <w:ind w:right="23" w:firstLine="30"/>
              <w:jc w:val="center"/>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98,9</w:t>
            </w:r>
            <w:r w:rsidRPr="00175114">
              <w:rPr>
                <w:rFonts w:cs="Calibri Light"/>
                <w:color w:val="000000"/>
                <w:sz w:val="18"/>
                <w:szCs w:val="18"/>
              </w:rPr>
              <w:t>%</w:t>
            </w:r>
          </w:p>
        </w:tc>
        <w:tc>
          <w:tcPr>
            <w:tcW w:w="10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9 319</w:t>
            </w:r>
          </w:p>
        </w:tc>
        <w:tc>
          <w:tcPr>
            <w:tcW w:w="873" w:type="dxa"/>
            <w:tcBorders>
              <w:top w:val="single" w:sz="4" w:space="0" w:color="auto"/>
              <w:bottom w:val="single" w:sz="4" w:space="0" w:color="auto"/>
              <w:right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w:t>
            </w:r>
            <w:r>
              <w:rPr>
                <w:rFonts w:cs="Calibri Light"/>
                <w:color w:val="000000"/>
                <w:sz w:val="18"/>
                <w:szCs w:val="18"/>
              </w:rPr>
              <w:t>1 881,8</w:t>
            </w:r>
          </w:p>
        </w:tc>
      </w:tr>
      <w:tr w:rsidR="00F62E47" w:rsidRPr="00175114" w:rsidTr="00F62E47">
        <w:trPr>
          <w:trHeight w:val="199"/>
        </w:trPr>
        <w:tc>
          <w:tcPr>
            <w:cnfStyle w:val="001000000000" w:firstRow="0" w:lastRow="0" w:firstColumn="1" w:lastColumn="0" w:oddVBand="0" w:evenVBand="0" w:oddHBand="0" w:evenHBand="0" w:firstRowFirstColumn="0" w:firstRowLastColumn="0" w:lastRowFirstColumn="0" w:lastRowLastColumn="0"/>
            <w:tcW w:w="1413" w:type="dxa"/>
            <w:vAlign w:val="center"/>
          </w:tcPr>
          <w:p w:rsidR="00F62E47" w:rsidRPr="00175114" w:rsidRDefault="00F62E47" w:rsidP="00F62E47">
            <w:pPr>
              <w:spacing w:after="0"/>
              <w:ind w:firstLine="30"/>
              <w:rPr>
                <w:rFonts w:eastAsia="Palatino Linotype" w:cs="Calibri Light"/>
                <w:b w:val="0"/>
                <w:bCs w:val="0"/>
                <w:color w:val="000000"/>
                <w:sz w:val="18"/>
                <w:szCs w:val="18"/>
                <w:lang w:eastAsia="en-US"/>
              </w:rPr>
            </w:pPr>
            <w:r w:rsidRPr="00175114">
              <w:rPr>
                <w:rFonts w:cs="Calibri Light"/>
                <w:b w:val="0"/>
                <w:color w:val="000000"/>
                <w:sz w:val="18"/>
                <w:szCs w:val="18"/>
              </w:rPr>
              <w:t>Wielkopolska</w:t>
            </w:r>
          </w:p>
        </w:tc>
        <w:tc>
          <w:tcPr>
            <w:tcW w:w="567" w:type="dxa"/>
          </w:tcPr>
          <w:p w:rsidR="00F62E47" w:rsidRPr="00744AFE"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44AFE">
              <w:rPr>
                <w:rFonts w:cs="Calibri Light"/>
                <w:sz w:val="18"/>
                <w:szCs w:val="18"/>
              </w:rPr>
              <w:t>12</w:t>
            </w:r>
          </w:p>
        </w:tc>
        <w:tc>
          <w:tcPr>
            <w:tcW w:w="850" w:type="dxa"/>
          </w:tcPr>
          <w:p w:rsidR="00F62E47" w:rsidRPr="00744AFE"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744AFE">
              <w:rPr>
                <w:rFonts w:cs="Calibri Light"/>
                <w:sz w:val="18"/>
                <w:szCs w:val="18"/>
              </w:rPr>
              <w:t>85,4</w:t>
            </w:r>
          </w:p>
        </w:tc>
        <w:tc>
          <w:tcPr>
            <w:tcW w:w="851"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 xml:space="preserve"> </w:t>
            </w:r>
            <w:r w:rsidRPr="00175114" w:rsidDel="00BC278C">
              <w:rPr>
                <w:rFonts w:cs="Calibri Light"/>
                <w:color w:val="000000"/>
                <w:sz w:val="18"/>
                <w:szCs w:val="18"/>
              </w:rPr>
              <w:t xml:space="preserve">13 </w:t>
            </w:r>
            <w:r>
              <w:rPr>
                <w:rFonts w:cs="Calibri Light"/>
                <w:color w:val="000000"/>
                <w:sz w:val="18"/>
                <w:szCs w:val="18"/>
              </w:rPr>
              <w:t>986</w:t>
            </w:r>
          </w:p>
        </w:tc>
        <w:tc>
          <w:tcPr>
            <w:tcW w:w="850" w:type="dxa"/>
          </w:tcPr>
          <w:p w:rsidR="00F62E47" w:rsidRPr="00175114" w:rsidRDefault="00F62E47" w:rsidP="00F62E47">
            <w:pPr>
              <w:spacing w:after="0"/>
              <w:ind w:right="23"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6</w:t>
            </w:r>
            <w:r>
              <w:rPr>
                <w:rFonts w:cs="Calibri Light"/>
                <w:color w:val="000000"/>
                <w:sz w:val="18"/>
                <w:szCs w:val="18"/>
              </w:rPr>
              <w:t>62</w:t>
            </w:r>
          </w:p>
        </w:tc>
        <w:tc>
          <w:tcPr>
            <w:tcW w:w="1134"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w:t>
            </w:r>
            <w:r w:rsidRPr="00175114" w:rsidDel="00BC278C">
              <w:rPr>
                <w:rFonts w:cs="Calibri Light"/>
                <w:color w:val="000000"/>
                <w:sz w:val="18"/>
                <w:szCs w:val="18"/>
              </w:rPr>
              <w:t>280</w:t>
            </w:r>
            <w:r>
              <w:rPr>
                <w:rFonts w:cs="Calibri Light"/>
                <w:color w:val="000000"/>
                <w:sz w:val="18"/>
                <w:szCs w:val="18"/>
              </w:rPr>
              <w:t> 502,0</w:t>
            </w:r>
          </w:p>
        </w:tc>
        <w:tc>
          <w:tcPr>
            <w:tcW w:w="1035"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sidDel="00BC278C">
              <w:rPr>
                <w:rFonts w:cs="Calibri Light"/>
                <w:color w:val="000000"/>
                <w:sz w:val="18"/>
                <w:szCs w:val="18"/>
              </w:rPr>
              <w:t>14</w:t>
            </w:r>
            <w:r>
              <w:rPr>
                <w:rFonts w:cs="Calibri Light"/>
                <w:color w:val="000000"/>
                <w:sz w:val="18"/>
                <w:szCs w:val="18"/>
              </w:rPr>
              <w:t> 600,6</w:t>
            </w:r>
          </w:p>
        </w:tc>
        <w:tc>
          <w:tcPr>
            <w:tcW w:w="728" w:type="dxa"/>
          </w:tcPr>
          <w:p w:rsidR="00F62E47" w:rsidRPr="00175114" w:rsidRDefault="00F62E47" w:rsidP="00F62E47">
            <w:pPr>
              <w:spacing w:after="0"/>
              <w:ind w:right="23" w:firstLine="30"/>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98,7</w:t>
            </w:r>
            <w:r w:rsidRPr="00175114">
              <w:rPr>
                <w:rFonts w:cs="Calibri Light"/>
                <w:color w:val="000000"/>
                <w:sz w:val="18"/>
                <w:szCs w:val="18"/>
              </w:rPr>
              <w:t>%</w:t>
            </w:r>
          </w:p>
        </w:tc>
        <w:tc>
          <w:tcPr>
            <w:tcW w:w="10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sidDel="00BC278C">
              <w:rPr>
                <w:rFonts w:cs="Calibri Light"/>
                <w:color w:val="000000"/>
                <w:sz w:val="18"/>
                <w:szCs w:val="18"/>
              </w:rPr>
              <w:t xml:space="preserve">25 </w:t>
            </w:r>
            <w:r>
              <w:rPr>
                <w:rFonts w:cs="Calibri Light"/>
                <w:color w:val="000000"/>
                <w:sz w:val="18"/>
                <w:szCs w:val="18"/>
              </w:rPr>
              <w:t>588</w:t>
            </w:r>
          </w:p>
        </w:tc>
        <w:tc>
          <w:tcPr>
            <w:tcW w:w="873"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w:t>
            </w:r>
            <w:r w:rsidRPr="00175114" w:rsidDel="00BC278C">
              <w:rPr>
                <w:rFonts w:cs="Calibri Light"/>
                <w:color w:val="000000"/>
                <w:sz w:val="18"/>
                <w:szCs w:val="18"/>
              </w:rPr>
              <w:t>3</w:t>
            </w:r>
            <w:r>
              <w:rPr>
                <w:rFonts w:cs="Calibri Light"/>
                <w:color w:val="000000"/>
                <w:sz w:val="18"/>
                <w:szCs w:val="18"/>
              </w:rPr>
              <w:t> 701,3</w:t>
            </w:r>
          </w:p>
        </w:tc>
      </w:tr>
      <w:tr w:rsidR="00F62E47" w:rsidRPr="00175114" w:rsidTr="00F62E4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tcBorders>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„Skarbiec”</w:t>
            </w:r>
          </w:p>
        </w:tc>
        <w:tc>
          <w:tcPr>
            <w:tcW w:w="567"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0</w:t>
            </w:r>
          </w:p>
        </w:tc>
        <w:tc>
          <w:tcPr>
            <w:tcW w:w="8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0</w:t>
            </w:r>
          </w:p>
        </w:tc>
        <w:tc>
          <w:tcPr>
            <w:tcW w:w="851"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2 360</w:t>
            </w:r>
          </w:p>
        </w:tc>
        <w:tc>
          <w:tcPr>
            <w:tcW w:w="850" w:type="dxa"/>
            <w:tcBorders>
              <w:top w:val="single" w:sz="4" w:space="0" w:color="auto"/>
              <w:bottom w:val="single" w:sz="4" w:space="0" w:color="auto"/>
            </w:tcBorders>
          </w:tcPr>
          <w:p w:rsidR="00F62E47" w:rsidRPr="00175114" w:rsidRDefault="00F62E47" w:rsidP="00F62E47">
            <w:pPr>
              <w:spacing w:after="0"/>
              <w:ind w:right="23"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159</w:t>
            </w:r>
          </w:p>
        </w:tc>
        <w:tc>
          <w:tcPr>
            <w:tcW w:w="1134"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87 666,1</w:t>
            </w:r>
          </w:p>
        </w:tc>
        <w:tc>
          <w:tcPr>
            <w:tcW w:w="1035"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6 577,0</w:t>
            </w:r>
          </w:p>
        </w:tc>
        <w:tc>
          <w:tcPr>
            <w:tcW w:w="728" w:type="dxa"/>
            <w:tcBorders>
              <w:top w:val="single" w:sz="4" w:space="0" w:color="auto"/>
              <w:bottom w:val="single" w:sz="4" w:space="0" w:color="auto"/>
            </w:tcBorders>
          </w:tcPr>
          <w:p w:rsidR="00F62E47" w:rsidRPr="00175114" w:rsidRDefault="00F62E47" w:rsidP="00F62E47">
            <w:pPr>
              <w:spacing w:after="0"/>
              <w:ind w:right="23" w:firstLine="30"/>
              <w:jc w:val="center"/>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99,6%</w:t>
            </w:r>
          </w:p>
        </w:tc>
        <w:tc>
          <w:tcPr>
            <w:tcW w:w="10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3</w:t>
            </w:r>
          </w:p>
        </w:tc>
        <w:tc>
          <w:tcPr>
            <w:tcW w:w="873" w:type="dxa"/>
            <w:tcBorders>
              <w:top w:val="single" w:sz="4" w:space="0" w:color="auto"/>
              <w:bottom w:val="single" w:sz="4" w:space="0" w:color="auto"/>
              <w:right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28,6</w:t>
            </w:r>
          </w:p>
        </w:tc>
      </w:tr>
      <w:tr w:rsidR="00F62E47" w:rsidRPr="00175114" w:rsidTr="00F62E47">
        <w:trPr>
          <w:trHeight w:val="127"/>
        </w:trPr>
        <w:tc>
          <w:tcPr>
            <w:cnfStyle w:val="001000000000" w:firstRow="0" w:lastRow="0" w:firstColumn="1" w:lastColumn="0" w:oddVBand="0" w:evenVBand="0" w:oddHBand="0" w:evenHBand="0" w:firstRowFirstColumn="0" w:firstRowLastColumn="0" w:lastRowFirstColumn="0" w:lastRowLastColumn="0"/>
            <w:tcW w:w="1413" w:type="dxa"/>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„Arka”</w:t>
            </w:r>
          </w:p>
        </w:tc>
        <w:tc>
          <w:tcPr>
            <w:tcW w:w="567"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1"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2 683</w:t>
            </w:r>
          </w:p>
        </w:tc>
        <w:tc>
          <w:tcPr>
            <w:tcW w:w="8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15</w:t>
            </w:r>
            <w:r>
              <w:rPr>
                <w:rFonts w:cs="Calibri Light"/>
                <w:color w:val="000000"/>
                <w:sz w:val="18"/>
                <w:szCs w:val="18"/>
              </w:rPr>
              <w:t>2</w:t>
            </w:r>
          </w:p>
        </w:tc>
        <w:tc>
          <w:tcPr>
            <w:tcW w:w="1134"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92</w:t>
            </w:r>
            <w:r>
              <w:rPr>
                <w:rFonts w:cs="Calibri Light"/>
                <w:color w:val="000000"/>
                <w:sz w:val="18"/>
                <w:szCs w:val="18"/>
              </w:rPr>
              <w:t> 403,8</w:t>
            </w:r>
          </w:p>
        </w:tc>
        <w:tc>
          <w:tcPr>
            <w:tcW w:w="1035"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4</w:t>
            </w:r>
            <w:r>
              <w:rPr>
                <w:rFonts w:cs="Calibri Light"/>
                <w:color w:val="000000"/>
                <w:sz w:val="18"/>
                <w:szCs w:val="18"/>
              </w:rPr>
              <w:t> 497,8</w:t>
            </w:r>
          </w:p>
        </w:tc>
        <w:tc>
          <w:tcPr>
            <w:tcW w:w="728" w:type="dxa"/>
          </w:tcPr>
          <w:p w:rsidR="00F62E47" w:rsidRPr="00175114" w:rsidRDefault="00F62E47" w:rsidP="00F62E47">
            <w:pPr>
              <w:spacing w:after="0"/>
              <w:ind w:firstLine="30"/>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99,2</w:t>
            </w:r>
            <w:r w:rsidRPr="00175114">
              <w:rPr>
                <w:rFonts w:cs="Calibri Light"/>
                <w:color w:val="000000"/>
                <w:sz w:val="18"/>
                <w:szCs w:val="18"/>
              </w:rPr>
              <w:t>%</w:t>
            </w:r>
          </w:p>
        </w:tc>
        <w:tc>
          <w:tcPr>
            <w:tcW w:w="10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4</w:t>
            </w:r>
          </w:p>
        </w:tc>
        <w:tc>
          <w:tcPr>
            <w:tcW w:w="873"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3,3</w:t>
            </w:r>
          </w:p>
        </w:tc>
      </w:tr>
      <w:tr w:rsidR="00F62E47" w:rsidRPr="00175114" w:rsidTr="00F62E47">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tcBorders>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„Jowisz”</w:t>
            </w:r>
          </w:p>
        </w:tc>
        <w:tc>
          <w:tcPr>
            <w:tcW w:w="567"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1"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sidDel="00BC278C">
              <w:rPr>
                <w:rFonts w:cs="Calibri Light"/>
                <w:color w:val="000000"/>
                <w:sz w:val="18"/>
                <w:szCs w:val="18"/>
              </w:rPr>
              <w:t xml:space="preserve">2 </w:t>
            </w:r>
            <w:r w:rsidRPr="00175114">
              <w:rPr>
                <w:rFonts w:cs="Calibri Light"/>
                <w:color w:val="000000"/>
                <w:sz w:val="18"/>
                <w:szCs w:val="18"/>
              </w:rPr>
              <w:t>834</w:t>
            </w:r>
          </w:p>
        </w:tc>
        <w:tc>
          <w:tcPr>
            <w:tcW w:w="8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242</w:t>
            </w:r>
          </w:p>
        </w:tc>
        <w:tc>
          <w:tcPr>
            <w:tcW w:w="1134"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sidDel="00BC278C">
              <w:rPr>
                <w:rFonts w:cs="Calibri Light"/>
                <w:color w:val="000000"/>
                <w:sz w:val="18"/>
                <w:szCs w:val="18"/>
              </w:rPr>
              <w:t xml:space="preserve">80 </w:t>
            </w:r>
            <w:r w:rsidRPr="00175114">
              <w:rPr>
                <w:rFonts w:cs="Calibri Light"/>
                <w:color w:val="000000"/>
                <w:sz w:val="18"/>
                <w:szCs w:val="18"/>
              </w:rPr>
              <w:t>730,3</w:t>
            </w:r>
          </w:p>
        </w:tc>
        <w:tc>
          <w:tcPr>
            <w:tcW w:w="1035"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sidDel="00BC278C">
              <w:rPr>
                <w:rFonts w:cs="Calibri Light"/>
                <w:color w:val="000000"/>
                <w:sz w:val="18"/>
                <w:szCs w:val="18"/>
              </w:rPr>
              <w:t xml:space="preserve">5 </w:t>
            </w:r>
            <w:r w:rsidRPr="00175114">
              <w:rPr>
                <w:rFonts w:cs="Calibri Light"/>
                <w:color w:val="000000"/>
                <w:sz w:val="18"/>
                <w:szCs w:val="18"/>
              </w:rPr>
              <w:t>338,9</w:t>
            </w:r>
          </w:p>
        </w:tc>
        <w:tc>
          <w:tcPr>
            <w:tcW w:w="728" w:type="dxa"/>
            <w:tcBorders>
              <w:top w:val="single" w:sz="4" w:space="0" w:color="auto"/>
              <w:bottom w:val="single" w:sz="4" w:space="0" w:color="auto"/>
            </w:tcBorders>
          </w:tcPr>
          <w:p w:rsidR="00F62E47" w:rsidRPr="00175114" w:rsidRDefault="00F62E47" w:rsidP="00F62E47">
            <w:pPr>
              <w:spacing w:after="0"/>
              <w:ind w:firstLine="30"/>
              <w:jc w:val="center"/>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98,5%</w:t>
            </w:r>
          </w:p>
        </w:tc>
        <w:tc>
          <w:tcPr>
            <w:tcW w:w="10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8</w:t>
            </w:r>
          </w:p>
        </w:tc>
        <w:tc>
          <w:tcPr>
            <w:tcW w:w="873" w:type="dxa"/>
            <w:tcBorders>
              <w:top w:val="single" w:sz="4" w:space="0" w:color="auto"/>
              <w:bottom w:val="single" w:sz="4" w:space="0" w:color="auto"/>
              <w:right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32,0</w:t>
            </w:r>
          </w:p>
        </w:tc>
      </w:tr>
      <w:tr w:rsidR="00F62E47" w:rsidRPr="00175114" w:rsidTr="00F62E47">
        <w:trPr>
          <w:trHeight w:val="207"/>
        </w:trPr>
        <w:tc>
          <w:tcPr>
            <w:cnfStyle w:val="001000000000" w:firstRow="0" w:lastRow="0" w:firstColumn="1" w:lastColumn="0" w:oddVBand="0" w:evenVBand="0" w:oddHBand="0" w:evenHBand="0" w:firstRowFirstColumn="0" w:firstRowLastColumn="0" w:lastRowFirstColumn="0" w:lastRowLastColumn="0"/>
            <w:tcW w:w="1413" w:type="dxa"/>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„Polska”</w:t>
            </w:r>
          </w:p>
        </w:tc>
        <w:tc>
          <w:tcPr>
            <w:tcW w:w="567"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1"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sidDel="004E1C1A">
              <w:rPr>
                <w:rFonts w:cs="Calibri Light"/>
                <w:color w:val="000000"/>
                <w:sz w:val="18"/>
                <w:szCs w:val="18"/>
              </w:rPr>
              <w:t xml:space="preserve">2 </w:t>
            </w:r>
            <w:r w:rsidRPr="00175114">
              <w:rPr>
                <w:rFonts w:cs="Calibri Light"/>
                <w:color w:val="000000"/>
                <w:sz w:val="18"/>
                <w:szCs w:val="18"/>
              </w:rPr>
              <w:t>475</w:t>
            </w:r>
          </w:p>
        </w:tc>
        <w:tc>
          <w:tcPr>
            <w:tcW w:w="8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252</w:t>
            </w:r>
          </w:p>
        </w:tc>
        <w:tc>
          <w:tcPr>
            <w:tcW w:w="1134"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sidDel="004E1C1A">
              <w:rPr>
                <w:rFonts w:cs="Calibri Light"/>
                <w:color w:val="000000"/>
                <w:sz w:val="18"/>
                <w:szCs w:val="18"/>
              </w:rPr>
              <w:t>169 077,</w:t>
            </w:r>
            <w:r w:rsidRPr="00175114">
              <w:rPr>
                <w:rFonts w:cs="Calibri Light"/>
                <w:color w:val="000000"/>
                <w:sz w:val="18"/>
                <w:szCs w:val="18"/>
              </w:rPr>
              <w:t>9</w:t>
            </w:r>
          </w:p>
        </w:tc>
        <w:tc>
          <w:tcPr>
            <w:tcW w:w="1035"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sidDel="004E1C1A">
              <w:rPr>
                <w:rFonts w:cs="Calibri Light"/>
                <w:color w:val="000000"/>
                <w:sz w:val="18"/>
                <w:szCs w:val="18"/>
              </w:rPr>
              <w:t>9 773,</w:t>
            </w:r>
            <w:r w:rsidRPr="00175114">
              <w:rPr>
                <w:rFonts w:cs="Calibri Light"/>
                <w:color w:val="000000"/>
                <w:sz w:val="18"/>
                <w:szCs w:val="18"/>
              </w:rPr>
              <w:t>6</w:t>
            </w:r>
          </w:p>
        </w:tc>
        <w:tc>
          <w:tcPr>
            <w:tcW w:w="728" w:type="dxa"/>
          </w:tcPr>
          <w:p w:rsidR="00F62E47" w:rsidRPr="00175114" w:rsidRDefault="00F62E47" w:rsidP="00F62E47">
            <w:pPr>
              <w:spacing w:after="0"/>
              <w:ind w:firstLine="30"/>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99,3%</w:t>
            </w:r>
          </w:p>
        </w:tc>
        <w:tc>
          <w:tcPr>
            <w:tcW w:w="10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1</w:t>
            </w:r>
          </w:p>
        </w:tc>
        <w:tc>
          <w:tcPr>
            <w:tcW w:w="873"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0</w:t>
            </w:r>
            <w:r w:rsidRPr="00175114" w:rsidDel="004E1C1A">
              <w:rPr>
                <w:rFonts w:cs="Calibri Light"/>
                <w:color w:val="000000"/>
                <w:sz w:val="18"/>
                <w:szCs w:val="18"/>
              </w:rPr>
              <w:t>,</w:t>
            </w:r>
            <w:r>
              <w:rPr>
                <w:rFonts w:cs="Calibri Light"/>
                <w:color w:val="000000"/>
                <w:sz w:val="18"/>
                <w:szCs w:val="18"/>
              </w:rPr>
              <w:t>00</w:t>
            </w:r>
            <w:r w:rsidRPr="00175114">
              <w:rPr>
                <w:rFonts w:cs="Calibri Light"/>
                <w:color w:val="000000"/>
                <w:sz w:val="18"/>
                <w:szCs w:val="18"/>
              </w:rPr>
              <w:t>2</w:t>
            </w:r>
          </w:p>
        </w:tc>
      </w:tr>
      <w:tr w:rsidR="00F62E47" w:rsidRPr="00175114" w:rsidTr="00F62E4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tcBorders>
            <w:vAlign w:val="center"/>
          </w:tcPr>
          <w:p w:rsidR="00F62E47" w:rsidRPr="00175114" w:rsidRDefault="00F62E47" w:rsidP="00F62E47">
            <w:pPr>
              <w:spacing w:after="0"/>
              <w:ind w:firstLine="30"/>
              <w:rPr>
                <w:rFonts w:eastAsia="Palatino Linotype" w:cs="Calibri Light"/>
                <w:b w:val="0"/>
                <w:bCs w:val="0"/>
                <w:color w:val="000000"/>
                <w:sz w:val="18"/>
                <w:szCs w:val="18"/>
                <w:lang w:eastAsia="en-US"/>
              </w:rPr>
            </w:pPr>
            <w:r w:rsidRPr="00175114">
              <w:rPr>
                <w:rFonts w:cs="Calibri Light"/>
                <w:b w:val="0"/>
                <w:color w:val="000000"/>
                <w:sz w:val="18"/>
                <w:szCs w:val="18"/>
              </w:rPr>
              <w:t>Kujawiak</w:t>
            </w:r>
          </w:p>
        </w:tc>
        <w:tc>
          <w:tcPr>
            <w:tcW w:w="567"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0</w:t>
            </w:r>
          </w:p>
        </w:tc>
        <w:tc>
          <w:tcPr>
            <w:tcW w:w="8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0</w:t>
            </w:r>
          </w:p>
        </w:tc>
        <w:tc>
          <w:tcPr>
            <w:tcW w:w="851"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3 572</w:t>
            </w:r>
          </w:p>
        </w:tc>
        <w:tc>
          <w:tcPr>
            <w:tcW w:w="8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130</w:t>
            </w:r>
          </w:p>
        </w:tc>
        <w:tc>
          <w:tcPr>
            <w:tcW w:w="1134"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183 096,4</w:t>
            </w:r>
          </w:p>
        </w:tc>
        <w:tc>
          <w:tcPr>
            <w:tcW w:w="1035"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3 073,2</w:t>
            </w:r>
          </w:p>
        </w:tc>
        <w:tc>
          <w:tcPr>
            <w:tcW w:w="728" w:type="dxa"/>
            <w:tcBorders>
              <w:top w:val="single" w:sz="4" w:space="0" w:color="auto"/>
              <w:bottom w:val="single" w:sz="4" w:space="0" w:color="auto"/>
            </w:tcBorders>
          </w:tcPr>
          <w:p w:rsidR="00F62E47" w:rsidRPr="00175114" w:rsidRDefault="00F62E47" w:rsidP="00F62E47">
            <w:pPr>
              <w:spacing w:after="0"/>
              <w:ind w:firstLine="30"/>
              <w:jc w:val="center"/>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99,6%</w:t>
            </w:r>
          </w:p>
        </w:tc>
        <w:tc>
          <w:tcPr>
            <w:tcW w:w="10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3</w:t>
            </w:r>
          </w:p>
        </w:tc>
        <w:tc>
          <w:tcPr>
            <w:tcW w:w="873" w:type="dxa"/>
            <w:tcBorders>
              <w:top w:val="single" w:sz="4" w:space="0" w:color="auto"/>
              <w:bottom w:val="single" w:sz="4" w:space="0" w:color="auto"/>
              <w:right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0,9</w:t>
            </w:r>
          </w:p>
        </w:tc>
      </w:tr>
      <w:tr w:rsidR="00F62E47" w:rsidRPr="00175114" w:rsidTr="00F62E47">
        <w:trPr>
          <w:trHeight w:val="124"/>
        </w:trPr>
        <w:tc>
          <w:tcPr>
            <w:cnfStyle w:val="001000000000" w:firstRow="0" w:lastRow="0" w:firstColumn="1" w:lastColumn="0" w:oddVBand="0" w:evenVBand="0" w:oddHBand="0" w:evenHBand="0" w:firstRowFirstColumn="0" w:firstRowLastColumn="0" w:lastRowFirstColumn="0" w:lastRowLastColumn="0"/>
            <w:tcW w:w="1413" w:type="dxa"/>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w Wołominie</w:t>
            </w:r>
          </w:p>
        </w:tc>
        <w:tc>
          <w:tcPr>
            <w:tcW w:w="567"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0</w:t>
            </w:r>
          </w:p>
        </w:tc>
        <w:tc>
          <w:tcPr>
            <w:tcW w:w="8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0</w:t>
            </w:r>
          </w:p>
        </w:tc>
        <w:tc>
          <w:tcPr>
            <w:tcW w:w="851"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21 926</w:t>
            </w:r>
          </w:p>
        </w:tc>
        <w:tc>
          <w:tcPr>
            <w:tcW w:w="8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542</w:t>
            </w:r>
          </w:p>
        </w:tc>
        <w:tc>
          <w:tcPr>
            <w:tcW w:w="1134"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2 242 081,7</w:t>
            </w:r>
          </w:p>
        </w:tc>
        <w:tc>
          <w:tcPr>
            <w:tcW w:w="1035"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34 192,0</w:t>
            </w:r>
          </w:p>
        </w:tc>
        <w:tc>
          <w:tcPr>
            <w:tcW w:w="728" w:type="dxa"/>
          </w:tcPr>
          <w:p w:rsidR="00F62E47" w:rsidRPr="00175114" w:rsidRDefault="00F62E47" w:rsidP="00F62E47">
            <w:pPr>
              <w:spacing w:after="0"/>
              <w:ind w:firstLine="30"/>
              <w:jc w:val="center"/>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99,8%</w:t>
            </w:r>
          </w:p>
        </w:tc>
        <w:tc>
          <w:tcPr>
            <w:tcW w:w="1050"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3</w:t>
            </w:r>
          </w:p>
        </w:tc>
        <w:tc>
          <w:tcPr>
            <w:tcW w:w="873" w:type="dxa"/>
          </w:tcPr>
          <w:p w:rsidR="00F62E47" w:rsidRPr="00175114" w:rsidRDefault="00F62E47" w:rsidP="00F62E47">
            <w:pPr>
              <w:spacing w:after="0"/>
              <w:ind w:firstLine="3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w:t>
            </w:r>
            <w:r>
              <w:rPr>
                <w:rFonts w:cs="Calibri Light"/>
                <w:color w:val="000000"/>
                <w:sz w:val="18"/>
                <w:szCs w:val="18"/>
              </w:rPr>
              <w:t>20,8</w:t>
            </w:r>
          </w:p>
        </w:tc>
      </w:tr>
      <w:tr w:rsidR="00F62E47" w:rsidRPr="00175114" w:rsidTr="00F62E47">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tcBorders>
            <w:vAlign w:val="center"/>
          </w:tcPr>
          <w:p w:rsidR="00F62E47" w:rsidRPr="00175114" w:rsidRDefault="00F62E47" w:rsidP="00F62E47">
            <w:pPr>
              <w:spacing w:after="0"/>
              <w:ind w:firstLine="30"/>
              <w:rPr>
                <w:rFonts w:eastAsia="Palatino Linotype" w:cs="Calibri Light"/>
                <w:b w:val="0"/>
                <w:color w:val="000000"/>
                <w:sz w:val="18"/>
                <w:szCs w:val="18"/>
                <w:lang w:eastAsia="en-US"/>
              </w:rPr>
            </w:pPr>
            <w:r w:rsidRPr="00175114">
              <w:rPr>
                <w:rFonts w:cs="Calibri Light"/>
                <w:b w:val="0"/>
                <w:color w:val="000000"/>
                <w:sz w:val="18"/>
                <w:szCs w:val="18"/>
              </w:rPr>
              <w:t>Wspólnota</w:t>
            </w:r>
          </w:p>
        </w:tc>
        <w:tc>
          <w:tcPr>
            <w:tcW w:w="567"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0</w:t>
            </w:r>
          </w:p>
        </w:tc>
        <w:tc>
          <w:tcPr>
            <w:tcW w:w="851"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23 42</w:t>
            </w:r>
            <w:r>
              <w:rPr>
                <w:rFonts w:cs="Calibri Light"/>
                <w:color w:val="000000"/>
                <w:sz w:val="18"/>
                <w:szCs w:val="18"/>
              </w:rPr>
              <w:t>4</w:t>
            </w:r>
          </w:p>
        </w:tc>
        <w:tc>
          <w:tcPr>
            <w:tcW w:w="8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1 84</w:t>
            </w:r>
            <w:r>
              <w:rPr>
                <w:rFonts w:cs="Calibri Light"/>
                <w:color w:val="000000"/>
                <w:sz w:val="18"/>
                <w:szCs w:val="18"/>
              </w:rPr>
              <w:t>1</w:t>
            </w:r>
          </w:p>
        </w:tc>
        <w:tc>
          <w:tcPr>
            <w:tcW w:w="1134"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 xml:space="preserve"> 812</w:t>
            </w:r>
            <w:r>
              <w:rPr>
                <w:rFonts w:cs="Calibri Light"/>
                <w:color w:val="000000"/>
                <w:sz w:val="18"/>
                <w:szCs w:val="18"/>
              </w:rPr>
              <w:t> 228,4</w:t>
            </w:r>
          </w:p>
        </w:tc>
        <w:tc>
          <w:tcPr>
            <w:tcW w:w="1035"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 xml:space="preserve"> </w:t>
            </w:r>
            <w:r w:rsidRPr="00175114">
              <w:rPr>
                <w:rFonts w:cs="Calibri Light"/>
                <w:color w:val="000000"/>
                <w:sz w:val="18"/>
                <w:szCs w:val="18"/>
              </w:rPr>
              <w:t>46</w:t>
            </w:r>
            <w:r>
              <w:rPr>
                <w:rFonts w:cs="Calibri Light"/>
                <w:color w:val="000000"/>
                <w:sz w:val="18"/>
                <w:szCs w:val="18"/>
              </w:rPr>
              <w:t> </w:t>
            </w:r>
            <w:r w:rsidRPr="00175114">
              <w:rPr>
                <w:rFonts w:cs="Calibri Light"/>
                <w:color w:val="000000"/>
                <w:sz w:val="18"/>
                <w:szCs w:val="18"/>
              </w:rPr>
              <w:t>5</w:t>
            </w:r>
            <w:r>
              <w:rPr>
                <w:rFonts w:cs="Calibri Light"/>
                <w:color w:val="000000"/>
                <w:sz w:val="18"/>
                <w:szCs w:val="18"/>
              </w:rPr>
              <w:t>48,1</w:t>
            </w:r>
          </w:p>
        </w:tc>
        <w:tc>
          <w:tcPr>
            <w:tcW w:w="728" w:type="dxa"/>
            <w:tcBorders>
              <w:top w:val="single" w:sz="4" w:space="0" w:color="auto"/>
              <w:bottom w:val="single" w:sz="4" w:space="0" w:color="auto"/>
            </w:tcBorders>
          </w:tcPr>
          <w:p w:rsidR="00F62E47" w:rsidRPr="00175114" w:rsidRDefault="00F62E47" w:rsidP="00F62E47">
            <w:pPr>
              <w:spacing w:after="0"/>
              <w:ind w:firstLine="30"/>
              <w:jc w:val="center"/>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sidRPr="00175114">
              <w:rPr>
                <w:rFonts w:cs="Calibri Light"/>
                <w:color w:val="000000"/>
                <w:sz w:val="18"/>
                <w:szCs w:val="18"/>
              </w:rPr>
              <w:t>99,4%</w:t>
            </w:r>
          </w:p>
        </w:tc>
        <w:tc>
          <w:tcPr>
            <w:tcW w:w="1050" w:type="dxa"/>
            <w:tcBorders>
              <w:top w:val="single" w:sz="4" w:space="0" w:color="auto"/>
              <w:bottom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7</w:t>
            </w:r>
          </w:p>
        </w:tc>
        <w:tc>
          <w:tcPr>
            <w:tcW w:w="873" w:type="dxa"/>
            <w:tcBorders>
              <w:top w:val="single" w:sz="4" w:space="0" w:color="auto"/>
              <w:bottom w:val="single" w:sz="4" w:space="0" w:color="auto"/>
              <w:right w:val="single" w:sz="4" w:space="0" w:color="auto"/>
            </w:tcBorders>
          </w:tcPr>
          <w:p w:rsidR="00F62E47" w:rsidRPr="00175114" w:rsidRDefault="00F62E47" w:rsidP="00F62E47">
            <w:pPr>
              <w:spacing w:after="0"/>
              <w:ind w:firstLine="30"/>
              <w:jc w:val="right"/>
              <w:cnfStyle w:val="000000100000" w:firstRow="0" w:lastRow="0" w:firstColumn="0" w:lastColumn="0" w:oddVBand="0" w:evenVBand="0" w:oddHBand="1" w:evenHBand="0" w:firstRowFirstColumn="0" w:firstRowLastColumn="0" w:lastRowFirstColumn="0" w:lastRowLastColumn="0"/>
              <w:rPr>
                <w:rFonts w:cs="Calibri Light"/>
                <w:color w:val="000000"/>
                <w:sz w:val="18"/>
                <w:szCs w:val="18"/>
              </w:rPr>
            </w:pPr>
            <w:r>
              <w:rPr>
                <w:rFonts w:cs="Calibri Light"/>
                <w:color w:val="000000"/>
                <w:sz w:val="18"/>
                <w:szCs w:val="18"/>
              </w:rPr>
              <w:t xml:space="preserve"> 5,9</w:t>
            </w:r>
          </w:p>
        </w:tc>
      </w:tr>
    </w:tbl>
    <w:p w:rsidR="00FD1099" w:rsidRDefault="00FD1099" w:rsidP="008004CF">
      <w:pPr>
        <w:pStyle w:val="Nagwek2"/>
        <w:numPr>
          <w:ilvl w:val="0"/>
          <w:numId w:val="3"/>
        </w:numPr>
        <w:spacing w:before="200" w:after="120"/>
        <w:ind w:left="357" w:hanging="357"/>
        <w:rPr>
          <w:rFonts w:cs="Calibri Light"/>
        </w:rPr>
      </w:pPr>
      <w:bookmarkStart w:id="36" w:name="_Toc165233"/>
      <w:bookmarkStart w:id="37" w:name="_Toc356849"/>
      <w:bookmarkStart w:id="38" w:name="_Toc530740"/>
      <w:bookmarkStart w:id="39" w:name="_Toc32571600"/>
      <w:bookmarkStart w:id="40" w:name="_Toc34836164"/>
      <w:bookmarkStart w:id="41" w:name="_Toc116304511"/>
      <w:r w:rsidRPr="00DF679D">
        <w:rPr>
          <w:rFonts w:cs="Calibri Light"/>
        </w:rPr>
        <w:t xml:space="preserve">Kontrola prawidłowości danych znajdujących się w systemach wyliczania </w:t>
      </w:r>
      <w:bookmarkEnd w:id="36"/>
      <w:bookmarkEnd w:id="37"/>
      <w:bookmarkEnd w:id="38"/>
      <w:bookmarkEnd w:id="39"/>
      <w:bookmarkEnd w:id="40"/>
      <w:r w:rsidR="00BB2A5F" w:rsidRPr="00DF679D">
        <w:rPr>
          <w:rFonts w:cs="Calibri Light"/>
        </w:rPr>
        <w:t>podmiotów objętych systemem gwarantowania</w:t>
      </w:r>
      <w:bookmarkEnd w:id="41"/>
    </w:p>
    <w:p w:rsidR="00506B8D" w:rsidRPr="00506B8D" w:rsidRDefault="00506B8D" w:rsidP="008004CF">
      <w:pPr>
        <w:pStyle w:val="Nagwek3"/>
        <w:numPr>
          <w:ilvl w:val="1"/>
          <w:numId w:val="3"/>
        </w:numPr>
        <w:ind w:left="357" w:hanging="357"/>
        <w:rPr>
          <w:rFonts w:cs="Calibri Light"/>
          <w:sz w:val="24"/>
        </w:rPr>
      </w:pPr>
      <w:bookmarkStart w:id="42" w:name="_Toc116304512"/>
      <w:r w:rsidRPr="00506B8D">
        <w:rPr>
          <w:rFonts w:cs="Calibri Light"/>
          <w:sz w:val="24"/>
        </w:rPr>
        <w:t>Podstawa prawna oraz cel przeprowadzania kontroli prawidłowości danych</w:t>
      </w:r>
      <w:bookmarkEnd w:id="42"/>
    </w:p>
    <w:p w:rsidR="00506B8D" w:rsidRPr="009B5042" w:rsidRDefault="00506B8D" w:rsidP="00A8065D">
      <w:pPr>
        <w:widowControl w:val="0"/>
        <w:spacing w:before="120" w:after="120"/>
        <w:rPr>
          <w:rFonts w:eastAsia="Palatino Linotype" w:cs="Calibri Light"/>
          <w:lang w:eastAsia="en-US"/>
        </w:rPr>
      </w:pPr>
      <w:r w:rsidRPr="009B5042">
        <w:rPr>
          <w:rFonts w:eastAsia="Palatino Linotype" w:cs="Calibri Light"/>
          <w:lang w:eastAsia="en-US"/>
        </w:rPr>
        <w:t>Kontrole prawidłowości danych zawartych w systemach wyliczania podmiotów objętych systemem gwarantowania realizowane są w oparciu o art. 32 ust. 1 ustawy o BFG, zgodnie z zaakceptowanym przez Zarząd kwartalnym planem kontroli.</w:t>
      </w:r>
    </w:p>
    <w:p w:rsidR="00506B8D" w:rsidRPr="009B5042" w:rsidRDefault="00506B8D" w:rsidP="00A8065D">
      <w:pPr>
        <w:widowControl w:val="0"/>
        <w:spacing w:before="120" w:after="120"/>
        <w:rPr>
          <w:rFonts w:eastAsia="Palatino Linotype" w:cs="Calibri Light"/>
          <w:lang w:eastAsia="en-US"/>
        </w:rPr>
      </w:pPr>
      <w:r w:rsidRPr="009B5042">
        <w:rPr>
          <w:rFonts w:eastAsia="Palatino Linotype" w:cs="Calibri Light"/>
          <w:lang w:eastAsia="en-US"/>
        </w:rPr>
        <w:t xml:space="preserve">Zakres i strukturę ww. danych określa </w:t>
      </w:r>
      <w:r w:rsidRPr="009B5042">
        <w:rPr>
          <w:rFonts w:eastAsia="Palatino Linotype" w:cs="Calibri Light"/>
          <w:i/>
          <w:lang w:eastAsia="en-US"/>
        </w:rPr>
        <w:t>r</w:t>
      </w:r>
      <w:r w:rsidRPr="009B5042" w:rsidDel="00AE60FF">
        <w:rPr>
          <w:rFonts w:eastAsia="Palatino Linotype" w:cs="Calibri Light"/>
          <w:i/>
          <w:lang w:eastAsia="en-US"/>
        </w:rPr>
        <w:t>oz</w:t>
      </w:r>
      <w:r w:rsidRPr="009B5042">
        <w:rPr>
          <w:rFonts w:eastAsia="Palatino Linotype" w:cs="Calibri Light"/>
          <w:i/>
          <w:lang w:eastAsia="en-US"/>
        </w:rPr>
        <w:t>porządzenie Ministra Finansów z dnia 26 </w:t>
      </w:r>
      <w:r w:rsidRPr="009B5042" w:rsidDel="00AE60FF">
        <w:rPr>
          <w:rFonts w:eastAsia="Palatino Linotype" w:cs="Calibri Light"/>
          <w:i/>
          <w:lang w:eastAsia="en-US"/>
        </w:rPr>
        <w:t>września 2016 r.</w:t>
      </w:r>
      <w:r w:rsidRPr="009B5042">
        <w:rPr>
          <w:rFonts w:eastAsia="Palatino Linotype" w:cs="Calibri Light"/>
          <w:i/>
          <w:lang w:eastAsia="en-US"/>
        </w:rPr>
        <w:t xml:space="preserve"> w </w:t>
      </w:r>
      <w:r w:rsidRPr="009B5042" w:rsidDel="00AE60FF">
        <w:rPr>
          <w:rFonts w:eastAsia="Palatino Linotype" w:cs="Calibri Light"/>
          <w:i/>
          <w:lang w:eastAsia="en-US"/>
        </w:rPr>
        <w:t>sprawie wymogów dla syst</w:t>
      </w:r>
      <w:r w:rsidRPr="009B5042">
        <w:rPr>
          <w:rFonts w:eastAsia="Palatino Linotype" w:cs="Calibri Light"/>
          <w:i/>
          <w:lang w:eastAsia="en-US"/>
        </w:rPr>
        <w:t>emów wyliczania utrzymywanych w </w:t>
      </w:r>
      <w:r w:rsidRPr="009B5042" w:rsidDel="00AE60FF">
        <w:rPr>
          <w:rFonts w:eastAsia="Palatino Linotype" w:cs="Calibri Light"/>
          <w:i/>
          <w:lang w:eastAsia="en-US"/>
        </w:rPr>
        <w:t>podmiotach objętych systemem gwarantowania</w:t>
      </w:r>
      <w:r w:rsidRPr="009B5042">
        <w:rPr>
          <w:rFonts w:eastAsia="Palatino Linotype" w:cs="Calibri Light"/>
          <w:i/>
          <w:lang w:eastAsia="en-US"/>
        </w:rPr>
        <w:t xml:space="preserve"> </w:t>
      </w:r>
      <w:r w:rsidRPr="009B5042">
        <w:rPr>
          <w:rFonts w:eastAsia="Palatino Linotype" w:cs="Calibri Light"/>
          <w:lang w:eastAsia="en-US"/>
        </w:rPr>
        <w:t>(Dz. U. poz. 1642) („rozporządzenie MF”).</w:t>
      </w:r>
    </w:p>
    <w:p w:rsidR="00506B8D" w:rsidRPr="009B5042" w:rsidRDefault="00506B8D" w:rsidP="00A8065D">
      <w:pPr>
        <w:spacing w:after="0"/>
        <w:rPr>
          <w:rFonts w:eastAsia="Palatino Linotype" w:cs="Calibri Light"/>
          <w:lang w:eastAsia="en-US"/>
        </w:rPr>
      </w:pPr>
      <w:r w:rsidRPr="009B5042">
        <w:rPr>
          <w:rFonts w:cs="Calibri Light"/>
        </w:rPr>
        <w:t>Kontrola danych jest wykonywana w celu zminimalizowania ryzyka dotyczącego możliwości nieprzygotowania w ustawowym terminie listy deponentów lub przygotowania listy deponentów zawierającej nieprawidłowe lub niekompletne dane. Przygotowanie poprawnej listy deponentów jest warunkiem koniecznym dla szybkiego rozpoczęcia wypłat gwarancyjnych.</w:t>
      </w:r>
      <w:r w:rsidRPr="009B5042">
        <w:rPr>
          <w:rFonts w:eastAsia="Palatino Linotype" w:cs="Calibri Light"/>
          <w:lang w:eastAsia="en-US"/>
        </w:rPr>
        <w:t xml:space="preserve"> W tym celu dokonywana jest weryfikacja dostosowania systemów wyliczania pod kątem obowiązujących wymagań w kwestii zakresu danych, sposobu ich prezentacji oraz odpowiednich oznaczeń danych, związanych z określonymi przepisami</w:t>
      </w:r>
      <w:r w:rsidRPr="009B5042">
        <w:rPr>
          <w:rFonts w:eastAsia="Palatino Linotype" w:cs="Calibri Light"/>
          <w:i/>
          <w:lang w:eastAsia="en-US"/>
        </w:rPr>
        <w:t xml:space="preserve"> </w:t>
      </w:r>
      <w:r w:rsidRPr="009B5042">
        <w:rPr>
          <w:rFonts w:eastAsia="Palatino Linotype" w:cs="Calibri Light"/>
          <w:lang w:eastAsia="en-US"/>
        </w:rPr>
        <w:t>ustawy o BFG</w:t>
      </w:r>
      <w:r w:rsidRPr="009B5042">
        <w:rPr>
          <w:rFonts w:eastAsia="Palatino Linotype" w:cs="Calibri Light"/>
          <w:i/>
          <w:lang w:eastAsia="en-US"/>
        </w:rPr>
        <w:t xml:space="preserve"> </w:t>
      </w:r>
      <w:r w:rsidRPr="009B5042">
        <w:rPr>
          <w:rFonts w:eastAsia="Palatino Linotype" w:cs="Calibri Light"/>
          <w:lang w:eastAsia="en-US"/>
        </w:rPr>
        <w:t>definicjami deponenta i środków gwarantowanych.</w:t>
      </w:r>
    </w:p>
    <w:p w:rsidR="00506B8D" w:rsidRPr="00A8065D" w:rsidRDefault="00506B8D" w:rsidP="008004CF">
      <w:pPr>
        <w:pStyle w:val="Nagwek3"/>
        <w:numPr>
          <w:ilvl w:val="1"/>
          <w:numId w:val="3"/>
        </w:numPr>
        <w:ind w:left="357" w:hanging="357"/>
        <w:rPr>
          <w:rFonts w:cs="Calibri Light"/>
          <w:sz w:val="24"/>
        </w:rPr>
      </w:pPr>
      <w:bookmarkStart w:id="43" w:name="_Toc116304513"/>
      <w:r w:rsidRPr="00A8065D">
        <w:rPr>
          <w:rFonts w:cs="Calibri Light"/>
          <w:sz w:val="24"/>
        </w:rPr>
        <w:t>Wyniki kontroli prawidłowości danych</w:t>
      </w:r>
      <w:bookmarkEnd w:id="43"/>
      <w:r w:rsidRPr="00A8065D">
        <w:rPr>
          <w:rFonts w:cs="Calibri Light"/>
          <w:sz w:val="24"/>
        </w:rPr>
        <w:t xml:space="preserve"> </w:t>
      </w:r>
    </w:p>
    <w:p w:rsidR="00506B8D" w:rsidRPr="009B5042" w:rsidRDefault="00506B8D" w:rsidP="00506B8D">
      <w:pPr>
        <w:spacing w:after="120"/>
        <w:rPr>
          <w:rFonts w:eastAsia="Palatino Linotype" w:cs="Calibri Light"/>
          <w:lang w:eastAsia="en-US"/>
        </w:rPr>
      </w:pPr>
      <w:r w:rsidRPr="009B5042">
        <w:rPr>
          <w:rFonts w:eastAsia="Palatino Linotype" w:cs="Calibri Light"/>
          <w:lang w:eastAsia="en-US"/>
        </w:rPr>
        <w:t>Kontrole danych przeprowadzane są w siedzibie Funduszu lub w siedzibach podmiotów objętych systemem gwarantowania.</w:t>
      </w:r>
    </w:p>
    <w:p w:rsidR="00506B8D" w:rsidRPr="009B5042" w:rsidRDefault="00506B8D" w:rsidP="00BC7FE9">
      <w:pPr>
        <w:spacing w:after="60"/>
        <w:ind w:firstLine="0"/>
        <w:rPr>
          <w:rFonts w:eastAsia="Times New Roman" w:cs="Calibri Light"/>
          <w:b/>
          <w:sz w:val="22"/>
          <w:szCs w:val="22"/>
        </w:rPr>
      </w:pPr>
      <w:r w:rsidRPr="009B5042">
        <w:rPr>
          <w:rFonts w:eastAsia="Times New Roman" w:cs="Calibri Light"/>
          <w:b/>
          <w:sz w:val="22"/>
          <w:szCs w:val="22"/>
        </w:rPr>
        <w:t xml:space="preserve">Tabela </w:t>
      </w:r>
      <w:r w:rsidR="005D1A1E">
        <w:rPr>
          <w:rFonts w:eastAsia="Times New Roman" w:cs="Calibri Light"/>
          <w:b/>
          <w:sz w:val="22"/>
          <w:szCs w:val="22"/>
        </w:rPr>
        <w:t>4</w:t>
      </w:r>
      <w:r w:rsidRPr="009B5042">
        <w:rPr>
          <w:rFonts w:eastAsia="Times New Roman" w:cs="Calibri Light"/>
          <w:b/>
          <w:sz w:val="22"/>
          <w:szCs w:val="22"/>
        </w:rPr>
        <w:t>. Liczba kontroli danych realizowanych w III kwartale 2022 r.</w:t>
      </w:r>
    </w:p>
    <w:tbl>
      <w:tblPr>
        <w:tblStyle w:val="Jasnalistaakcent13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823"/>
        <w:gridCol w:w="1984"/>
        <w:gridCol w:w="1351"/>
        <w:gridCol w:w="1618"/>
      </w:tblGrid>
      <w:tr w:rsidR="00506B8D" w:rsidRPr="009B5042" w:rsidTr="00B93CB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572" w:type="dxa"/>
            <w:shd w:val="clear" w:color="auto" w:fill="2A5384"/>
            <w:vAlign w:val="center"/>
          </w:tcPr>
          <w:p w:rsidR="00506B8D" w:rsidRPr="009B5042" w:rsidRDefault="00506B8D" w:rsidP="00B93CBF">
            <w:pPr>
              <w:widowControl w:val="0"/>
              <w:spacing w:after="0"/>
              <w:ind w:firstLine="284"/>
              <w:jc w:val="center"/>
              <w:rPr>
                <w:rFonts w:eastAsia="Palatino Linotype" w:cs="Calibri Light"/>
                <w:color w:val="FFFFFF"/>
                <w:sz w:val="18"/>
                <w:szCs w:val="18"/>
                <w:lang w:eastAsia="en-US"/>
              </w:rPr>
            </w:pPr>
            <w:r w:rsidRPr="009B5042">
              <w:rPr>
                <w:rFonts w:eastAsia="Palatino Linotype" w:cs="Calibri Light"/>
                <w:color w:val="FFFFFF"/>
                <w:sz w:val="18"/>
                <w:szCs w:val="18"/>
                <w:lang w:eastAsia="en-US"/>
              </w:rPr>
              <w:t>Rodzaj kontroli</w:t>
            </w:r>
          </w:p>
        </w:tc>
        <w:tc>
          <w:tcPr>
            <w:cnfStyle w:val="000010000000" w:firstRow="0" w:lastRow="0" w:firstColumn="0" w:lastColumn="0" w:oddVBand="1" w:evenVBand="0" w:oddHBand="0" w:evenHBand="0" w:firstRowFirstColumn="0" w:firstRowLastColumn="0" w:lastRowFirstColumn="0" w:lastRowLastColumn="0"/>
            <w:tcW w:w="1823" w:type="dxa"/>
            <w:tcBorders>
              <w:top w:val="none" w:sz="0" w:space="0" w:color="auto"/>
              <w:left w:val="none" w:sz="0" w:space="0" w:color="auto"/>
              <w:right w:val="none" w:sz="0" w:space="0" w:color="auto"/>
            </w:tcBorders>
            <w:shd w:val="clear" w:color="auto" w:fill="2A5384"/>
            <w:vAlign w:val="center"/>
          </w:tcPr>
          <w:p w:rsidR="00506B8D" w:rsidRPr="009B5042" w:rsidRDefault="00506B8D" w:rsidP="00BC7FE9">
            <w:pPr>
              <w:widowControl w:val="0"/>
              <w:spacing w:after="0"/>
              <w:ind w:firstLine="13"/>
              <w:jc w:val="center"/>
              <w:rPr>
                <w:rFonts w:eastAsia="Palatino Linotype" w:cs="Calibri Light"/>
                <w:color w:val="FFFFFF"/>
                <w:sz w:val="18"/>
                <w:szCs w:val="18"/>
                <w:lang w:eastAsia="en-US"/>
              </w:rPr>
            </w:pPr>
            <w:r w:rsidRPr="009B5042">
              <w:rPr>
                <w:rFonts w:eastAsia="Palatino Linotype" w:cs="Calibri Light"/>
                <w:color w:val="FFFFFF"/>
                <w:sz w:val="18"/>
                <w:szCs w:val="18"/>
                <w:lang w:eastAsia="en-US"/>
              </w:rPr>
              <w:t>Banki komercyjne</w:t>
            </w:r>
          </w:p>
        </w:tc>
        <w:tc>
          <w:tcPr>
            <w:tcW w:w="1984" w:type="dxa"/>
            <w:shd w:val="clear" w:color="auto" w:fill="2A5384"/>
            <w:vAlign w:val="center"/>
          </w:tcPr>
          <w:p w:rsidR="00506B8D" w:rsidRPr="009B5042" w:rsidRDefault="00506B8D" w:rsidP="00BC7FE9">
            <w:pPr>
              <w:widowControl w:val="0"/>
              <w:spacing w:after="0"/>
              <w:ind w:firstLine="0"/>
              <w:jc w:val="center"/>
              <w:cnfStyle w:val="100000000000" w:firstRow="1" w:lastRow="0" w:firstColumn="0" w:lastColumn="0" w:oddVBand="0" w:evenVBand="0" w:oddHBand="0" w:evenHBand="0" w:firstRowFirstColumn="0" w:firstRowLastColumn="0" w:lastRowFirstColumn="0" w:lastRowLastColumn="0"/>
              <w:rPr>
                <w:rFonts w:eastAsia="Palatino Linotype" w:cs="Calibri Light"/>
                <w:color w:val="FFFFFF"/>
                <w:sz w:val="18"/>
                <w:szCs w:val="18"/>
                <w:lang w:eastAsia="en-US"/>
              </w:rPr>
            </w:pPr>
            <w:r w:rsidRPr="009B5042">
              <w:rPr>
                <w:rFonts w:eastAsia="Palatino Linotype" w:cs="Calibri Light"/>
                <w:color w:val="FFFFFF"/>
                <w:sz w:val="18"/>
                <w:szCs w:val="18"/>
                <w:lang w:eastAsia="en-US"/>
              </w:rPr>
              <w:t>Banki spółdzielcze</w:t>
            </w:r>
          </w:p>
        </w:tc>
        <w:tc>
          <w:tcPr>
            <w:cnfStyle w:val="000010000000" w:firstRow="0" w:lastRow="0" w:firstColumn="0" w:lastColumn="0" w:oddVBand="1" w:evenVBand="0" w:oddHBand="0" w:evenHBand="0" w:firstRowFirstColumn="0" w:firstRowLastColumn="0" w:lastRowFirstColumn="0" w:lastRowLastColumn="0"/>
            <w:tcW w:w="1351" w:type="dxa"/>
            <w:tcBorders>
              <w:top w:val="none" w:sz="0" w:space="0" w:color="auto"/>
              <w:left w:val="none" w:sz="0" w:space="0" w:color="auto"/>
              <w:right w:val="none" w:sz="0" w:space="0" w:color="auto"/>
            </w:tcBorders>
            <w:shd w:val="clear" w:color="auto" w:fill="2A5384"/>
            <w:vAlign w:val="center"/>
          </w:tcPr>
          <w:p w:rsidR="00506B8D" w:rsidRPr="009B5042" w:rsidRDefault="00506B8D" w:rsidP="00BC7FE9">
            <w:pPr>
              <w:widowControl w:val="0"/>
              <w:spacing w:after="0"/>
              <w:ind w:firstLine="0"/>
              <w:jc w:val="center"/>
              <w:rPr>
                <w:rFonts w:eastAsia="Palatino Linotype" w:cs="Calibri Light"/>
                <w:color w:val="FFFFFF"/>
                <w:sz w:val="18"/>
                <w:szCs w:val="18"/>
                <w:lang w:eastAsia="en-US"/>
              </w:rPr>
            </w:pPr>
            <w:r w:rsidRPr="009B5042">
              <w:rPr>
                <w:rFonts w:eastAsia="Palatino Linotype" w:cs="Calibri Light"/>
                <w:color w:val="FFFFFF"/>
                <w:sz w:val="18"/>
                <w:szCs w:val="18"/>
                <w:lang w:eastAsia="en-US"/>
              </w:rPr>
              <w:t>Kasy</w:t>
            </w:r>
          </w:p>
        </w:tc>
        <w:tc>
          <w:tcPr>
            <w:cnfStyle w:val="000100000000" w:firstRow="0" w:lastRow="0" w:firstColumn="0" w:lastColumn="1" w:oddVBand="0" w:evenVBand="0" w:oddHBand="0" w:evenHBand="0" w:firstRowFirstColumn="0" w:firstRowLastColumn="0" w:lastRowFirstColumn="0" w:lastRowLastColumn="0"/>
            <w:tcW w:w="1618" w:type="dxa"/>
            <w:shd w:val="clear" w:color="auto" w:fill="2A5384"/>
            <w:vAlign w:val="center"/>
          </w:tcPr>
          <w:p w:rsidR="00506B8D" w:rsidRPr="009B5042" w:rsidRDefault="00506B8D" w:rsidP="00BC7FE9">
            <w:pPr>
              <w:widowControl w:val="0"/>
              <w:spacing w:after="0"/>
              <w:ind w:firstLine="0"/>
              <w:jc w:val="center"/>
              <w:rPr>
                <w:rFonts w:eastAsia="Palatino Linotype" w:cs="Calibri Light"/>
                <w:color w:val="FFFFFF"/>
                <w:sz w:val="18"/>
                <w:szCs w:val="18"/>
                <w:lang w:eastAsia="en-US"/>
              </w:rPr>
            </w:pPr>
            <w:r w:rsidRPr="009B5042">
              <w:rPr>
                <w:rFonts w:eastAsia="Palatino Linotype" w:cs="Calibri Light"/>
                <w:color w:val="FFFFFF"/>
                <w:sz w:val="18"/>
                <w:szCs w:val="18"/>
                <w:lang w:eastAsia="en-US"/>
              </w:rPr>
              <w:t>Razem</w:t>
            </w:r>
          </w:p>
        </w:tc>
      </w:tr>
      <w:tr w:rsidR="00506B8D" w:rsidRPr="009B5042" w:rsidTr="00B93CB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572" w:type="dxa"/>
            <w:tcBorders>
              <w:top w:val="none" w:sz="0" w:space="0" w:color="auto"/>
              <w:left w:val="none" w:sz="0" w:space="0" w:color="auto"/>
              <w:bottom w:val="none" w:sz="0" w:space="0" w:color="auto"/>
            </w:tcBorders>
            <w:shd w:val="clear" w:color="auto" w:fill="auto"/>
          </w:tcPr>
          <w:p w:rsidR="00506B8D" w:rsidRPr="009B5042" w:rsidRDefault="00506B8D" w:rsidP="00BC7FE9">
            <w:pPr>
              <w:widowControl w:val="0"/>
              <w:tabs>
                <w:tab w:val="left" w:pos="476"/>
              </w:tabs>
              <w:spacing w:after="0"/>
              <w:ind w:firstLine="33"/>
              <w:rPr>
                <w:rFonts w:eastAsia="Palatino Linotype" w:cs="Calibri Light"/>
                <w:sz w:val="18"/>
                <w:szCs w:val="18"/>
                <w:lang w:eastAsia="en-US"/>
              </w:rPr>
            </w:pPr>
            <w:r w:rsidRPr="009B5042">
              <w:rPr>
                <w:rFonts w:eastAsia="Palatino Linotype" w:cs="Calibri Light"/>
                <w:sz w:val="18"/>
                <w:szCs w:val="18"/>
                <w:lang w:eastAsia="en-US"/>
              </w:rPr>
              <w:t>w Funduszu*</w:t>
            </w:r>
          </w:p>
        </w:tc>
        <w:tc>
          <w:tcPr>
            <w:cnfStyle w:val="000010000000" w:firstRow="0" w:lastRow="0" w:firstColumn="0" w:lastColumn="0" w:oddVBand="1" w:evenVBand="0" w:oddHBand="0" w:evenHBand="0" w:firstRowFirstColumn="0" w:firstRowLastColumn="0" w:lastRowFirstColumn="0" w:lastRowLastColumn="0"/>
            <w:tcW w:w="1823" w:type="dxa"/>
            <w:tcBorders>
              <w:top w:val="none" w:sz="0" w:space="0" w:color="auto"/>
              <w:left w:val="none" w:sz="0" w:space="0" w:color="auto"/>
              <w:bottom w:val="none" w:sz="0" w:space="0" w:color="auto"/>
              <w:right w:val="none" w:sz="0" w:space="0" w:color="auto"/>
            </w:tcBorders>
            <w:shd w:val="clear" w:color="auto" w:fill="auto"/>
            <w:vAlign w:val="center"/>
          </w:tcPr>
          <w:p w:rsidR="00506B8D" w:rsidRPr="009B5042" w:rsidRDefault="00506B8D" w:rsidP="00BC7FE9">
            <w:pPr>
              <w:spacing w:after="0"/>
              <w:ind w:right="75" w:firstLine="13"/>
              <w:jc w:val="center"/>
              <w:rPr>
                <w:rFonts w:eastAsia="Palatino Linotype" w:cs="Calibri Light"/>
                <w:color w:val="000000"/>
                <w:sz w:val="18"/>
                <w:szCs w:val="18"/>
                <w:lang w:eastAsia="en-US"/>
              </w:rPr>
            </w:pPr>
            <w:r>
              <w:rPr>
                <w:rFonts w:eastAsia="Palatino Linotype" w:cs="Calibri Light"/>
                <w:color w:val="000000"/>
                <w:sz w:val="18"/>
                <w:szCs w:val="18"/>
                <w:lang w:eastAsia="en-US"/>
              </w:rPr>
              <w:t>2</w:t>
            </w:r>
          </w:p>
        </w:tc>
        <w:tc>
          <w:tcPr>
            <w:tcW w:w="1984" w:type="dxa"/>
            <w:tcBorders>
              <w:top w:val="none" w:sz="0" w:space="0" w:color="auto"/>
              <w:bottom w:val="none" w:sz="0" w:space="0" w:color="auto"/>
            </w:tcBorders>
            <w:shd w:val="clear" w:color="auto" w:fill="auto"/>
            <w:vAlign w:val="center"/>
          </w:tcPr>
          <w:p w:rsidR="00506B8D" w:rsidRPr="009B5042" w:rsidRDefault="00506B8D" w:rsidP="00BC7FE9">
            <w:pPr>
              <w:spacing w:after="0"/>
              <w:ind w:right="75" w:firstLine="0"/>
              <w:jc w:val="center"/>
              <w:cnfStyle w:val="000000100000" w:firstRow="0" w:lastRow="0" w:firstColumn="0" w:lastColumn="0" w:oddVBand="0" w:evenVBand="0" w:oddHBand="1" w:evenHBand="0" w:firstRowFirstColumn="0" w:firstRowLastColumn="0" w:lastRowFirstColumn="0" w:lastRowLastColumn="0"/>
              <w:rPr>
                <w:rFonts w:eastAsia="Palatino Linotype" w:cs="Calibri Light"/>
                <w:color w:val="000000"/>
                <w:sz w:val="18"/>
                <w:szCs w:val="18"/>
                <w:lang w:eastAsia="en-US"/>
              </w:rPr>
            </w:pPr>
            <w:r w:rsidRPr="009B5042">
              <w:rPr>
                <w:rFonts w:eastAsia="Palatino Linotype" w:cs="Calibri Light"/>
                <w:color w:val="000000"/>
                <w:sz w:val="18"/>
                <w:szCs w:val="18"/>
                <w:lang w:eastAsia="en-US"/>
              </w:rPr>
              <w:t>20</w:t>
            </w:r>
          </w:p>
        </w:tc>
        <w:tc>
          <w:tcPr>
            <w:cnfStyle w:val="000010000000" w:firstRow="0" w:lastRow="0" w:firstColumn="0" w:lastColumn="0" w:oddVBand="1" w:evenVBand="0" w:oddHBand="0" w:evenHBand="0" w:firstRowFirstColumn="0" w:firstRowLastColumn="0" w:lastRowFirstColumn="0" w:lastRowLastColumn="0"/>
            <w:tcW w:w="1351" w:type="dxa"/>
            <w:tcBorders>
              <w:top w:val="none" w:sz="0" w:space="0" w:color="auto"/>
              <w:left w:val="none" w:sz="0" w:space="0" w:color="auto"/>
              <w:bottom w:val="none" w:sz="0" w:space="0" w:color="auto"/>
              <w:right w:val="none" w:sz="0" w:space="0" w:color="auto"/>
            </w:tcBorders>
            <w:shd w:val="clear" w:color="auto" w:fill="auto"/>
            <w:vAlign w:val="center"/>
          </w:tcPr>
          <w:p w:rsidR="00506B8D" w:rsidRPr="009B5042" w:rsidRDefault="00506B8D" w:rsidP="00BC7FE9">
            <w:pPr>
              <w:spacing w:after="0"/>
              <w:ind w:right="75" w:firstLine="0"/>
              <w:jc w:val="center"/>
              <w:rPr>
                <w:rFonts w:eastAsia="Palatino Linotype" w:cs="Calibri Light"/>
                <w:color w:val="000000"/>
                <w:sz w:val="18"/>
                <w:szCs w:val="18"/>
                <w:lang w:eastAsia="en-US"/>
              </w:rPr>
            </w:pPr>
            <w:r w:rsidRPr="009B5042">
              <w:rPr>
                <w:rFonts w:eastAsia="Palatino Linotype" w:cs="Calibri Light"/>
                <w:color w:val="000000"/>
                <w:sz w:val="18"/>
                <w:szCs w:val="18"/>
                <w:lang w:eastAsia="en-US"/>
              </w:rPr>
              <w:t>1</w:t>
            </w:r>
          </w:p>
        </w:tc>
        <w:tc>
          <w:tcPr>
            <w:cnfStyle w:val="000100000000" w:firstRow="0" w:lastRow="0" w:firstColumn="0" w:lastColumn="1" w:oddVBand="0" w:evenVBand="0" w:oddHBand="0" w:evenHBand="0" w:firstRowFirstColumn="0" w:firstRowLastColumn="0" w:lastRowFirstColumn="0" w:lastRowLastColumn="0"/>
            <w:tcW w:w="1618" w:type="dxa"/>
            <w:tcBorders>
              <w:top w:val="none" w:sz="0" w:space="0" w:color="auto"/>
              <w:bottom w:val="none" w:sz="0" w:space="0" w:color="auto"/>
              <w:right w:val="none" w:sz="0" w:space="0" w:color="auto"/>
            </w:tcBorders>
            <w:shd w:val="clear" w:color="auto" w:fill="auto"/>
          </w:tcPr>
          <w:p w:rsidR="00506B8D" w:rsidRPr="009B5042" w:rsidRDefault="00506B8D" w:rsidP="00BC7FE9">
            <w:pPr>
              <w:spacing w:after="0"/>
              <w:ind w:right="75" w:firstLine="0"/>
              <w:jc w:val="center"/>
              <w:rPr>
                <w:rFonts w:eastAsia="Palatino Linotype" w:cs="Calibri Light"/>
                <w:b w:val="0"/>
                <w:bCs w:val="0"/>
                <w:color w:val="000000"/>
                <w:sz w:val="18"/>
                <w:szCs w:val="18"/>
                <w:lang w:eastAsia="en-US"/>
              </w:rPr>
            </w:pPr>
            <w:r w:rsidRPr="009B5042">
              <w:rPr>
                <w:rFonts w:eastAsia="Palatino Linotype" w:cs="Calibri Light"/>
                <w:b w:val="0"/>
                <w:bCs w:val="0"/>
                <w:color w:val="000000"/>
                <w:sz w:val="18"/>
                <w:szCs w:val="18"/>
                <w:lang w:eastAsia="en-US"/>
              </w:rPr>
              <w:t>2</w:t>
            </w:r>
            <w:r>
              <w:rPr>
                <w:rFonts w:eastAsia="Palatino Linotype" w:cs="Calibri Light"/>
                <w:b w:val="0"/>
                <w:bCs w:val="0"/>
                <w:color w:val="000000"/>
                <w:sz w:val="18"/>
                <w:szCs w:val="18"/>
                <w:lang w:eastAsia="en-US"/>
              </w:rPr>
              <w:t>3</w:t>
            </w:r>
          </w:p>
        </w:tc>
      </w:tr>
      <w:tr w:rsidR="00506B8D" w:rsidRPr="009B5042" w:rsidTr="00B93CBF">
        <w:trPr>
          <w:trHeight w:val="263"/>
        </w:trPr>
        <w:tc>
          <w:tcPr>
            <w:cnfStyle w:val="001000000000" w:firstRow="0" w:lastRow="0" w:firstColumn="1" w:lastColumn="0" w:oddVBand="0" w:evenVBand="0" w:oddHBand="0" w:evenHBand="0" w:firstRowFirstColumn="0" w:firstRowLastColumn="0" w:lastRowFirstColumn="0" w:lastRowLastColumn="0"/>
            <w:tcW w:w="2572" w:type="dxa"/>
            <w:shd w:val="clear" w:color="auto" w:fill="auto"/>
          </w:tcPr>
          <w:p w:rsidR="00506B8D" w:rsidRPr="009B5042" w:rsidRDefault="00506B8D" w:rsidP="00BC7FE9">
            <w:pPr>
              <w:widowControl w:val="0"/>
              <w:tabs>
                <w:tab w:val="left" w:pos="476"/>
              </w:tabs>
              <w:spacing w:after="0"/>
              <w:ind w:firstLine="33"/>
              <w:rPr>
                <w:rFonts w:eastAsia="Palatino Linotype" w:cs="Calibri Light"/>
                <w:sz w:val="18"/>
                <w:szCs w:val="18"/>
                <w:lang w:eastAsia="en-US"/>
              </w:rPr>
            </w:pPr>
            <w:r w:rsidRPr="009B5042">
              <w:rPr>
                <w:rFonts w:eastAsia="Palatino Linotype" w:cs="Calibri Light"/>
                <w:sz w:val="18"/>
                <w:szCs w:val="18"/>
                <w:lang w:eastAsia="en-US"/>
              </w:rPr>
              <w:t>w banku/w kasie**</w:t>
            </w:r>
          </w:p>
        </w:tc>
        <w:tc>
          <w:tcPr>
            <w:cnfStyle w:val="000010000000" w:firstRow="0" w:lastRow="0" w:firstColumn="0" w:lastColumn="0" w:oddVBand="1" w:evenVBand="0" w:oddHBand="0" w:evenHBand="0" w:firstRowFirstColumn="0" w:firstRowLastColumn="0" w:lastRowFirstColumn="0" w:lastRowLastColumn="0"/>
            <w:tcW w:w="1823" w:type="dxa"/>
            <w:tcBorders>
              <w:left w:val="none" w:sz="0" w:space="0" w:color="auto"/>
              <w:right w:val="none" w:sz="0" w:space="0" w:color="auto"/>
            </w:tcBorders>
            <w:shd w:val="clear" w:color="auto" w:fill="auto"/>
            <w:vAlign w:val="center"/>
          </w:tcPr>
          <w:p w:rsidR="00506B8D" w:rsidRPr="009B5042" w:rsidRDefault="00506B8D" w:rsidP="00BC7FE9">
            <w:pPr>
              <w:spacing w:after="0"/>
              <w:ind w:right="75" w:firstLine="13"/>
              <w:jc w:val="center"/>
              <w:rPr>
                <w:rFonts w:eastAsia="Palatino Linotype" w:cs="Calibri Light"/>
                <w:color w:val="000000"/>
                <w:sz w:val="18"/>
                <w:szCs w:val="18"/>
                <w:lang w:eastAsia="en-US"/>
              </w:rPr>
            </w:pPr>
            <w:r w:rsidRPr="009B5042">
              <w:rPr>
                <w:rFonts w:eastAsia="Palatino Linotype" w:cs="Calibri Light"/>
                <w:color w:val="000000"/>
                <w:sz w:val="18"/>
                <w:szCs w:val="18"/>
                <w:lang w:eastAsia="en-US"/>
              </w:rPr>
              <w:t>0</w:t>
            </w:r>
          </w:p>
        </w:tc>
        <w:tc>
          <w:tcPr>
            <w:tcW w:w="1984" w:type="dxa"/>
            <w:shd w:val="clear" w:color="auto" w:fill="auto"/>
            <w:vAlign w:val="center"/>
          </w:tcPr>
          <w:p w:rsidR="00506B8D" w:rsidRPr="009B5042" w:rsidRDefault="00506B8D" w:rsidP="00BC7FE9">
            <w:pPr>
              <w:spacing w:after="0"/>
              <w:ind w:right="75" w:firstLine="0"/>
              <w:jc w:val="center"/>
              <w:cnfStyle w:val="000000000000" w:firstRow="0" w:lastRow="0" w:firstColumn="0" w:lastColumn="0" w:oddVBand="0" w:evenVBand="0" w:oddHBand="0" w:evenHBand="0" w:firstRowFirstColumn="0" w:firstRowLastColumn="0" w:lastRowFirstColumn="0" w:lastRowLastColumn="0"/>
              <w:rPr>
                <w:rFonts w:eastAsia="Palatino Linotype" w:cs="Calibri Light"/>
                <w:color w:val="000000"/>
                <w:sz w:val="18"/>
                <w:szCs w:val="18"/>
                <w:lang w:eastAsia="en-US"/>
              </w:rPr>
            </w:pPr>
            <w:r w:rsidRPr="009B5042">
              <w:rPr>
                <w:rFonts w:eastAsia="Palatino Linotype" w:cs="Calibri Light"/>
                <w:color w:val="000000"/>
                <w:sz w:val="18"/>
                <w:szCs w:val="18"/>
                <w:lang w:eastAsia="en-US"/>
              </w:rPr>
              <w:t>1</w:t>
            </w:r>
          </w:p>
        </w:tc>
        <w:tc>
          <w:tcPr>
            <w:cnfStyle w:val="000010000000" w:firstRow="0" w:lastRow="0" w:firstColumn="0" w:lastColumn="0" w:oddVBand="1" w:evenVBand="0" w:oddHBand="0" w:evenHBand="0" w:firstRowFirstColumn="0" w:firstRowLastColumn="0" w:lastRowFirstColumn="0" w:lastRowLastColumn="0"/>
            <w:tcW w:w="1351" w:type="dxa"/>
            <w:tcBorders>
              <w:left w:val="none" w:sz="0" w:space="0" w:color="auto"/>
              <w:right w:val="none" w:sz="0" w:space="0" w:color="auto"/>
            </w:tcBorders>
            <w:shd w:val="clear" w:color="auto" w:fill="auto"/>
            <w:vAlign w:val="center"/>
          </w:tcPr>
          <w:p w:rsidR="00506B8D" w:rsidRPr="009B5042" w:rsidRDefault="00506B8D" w:rsidP="00BC7FE9">
            <w:pPr>
              <w:spacing w:after="0"/>
              <w:ind w:right="75" w:firstLine="0"/>
              <w:jc w:val="center"/>
              <w:rPr>
                <w:rFonts w:eastAsia="Palatino Linotype" w:cs="Calibri Light"/>
                <w:color w:val="000000"/>
                <w:sz w:val="18"/>
                <w:szCs w:val="18"/>
                <w:lang w:eastAsia="en-US"/>
              </w:rPr>
            </w:pPr>
            <w:r w:rsidRPr="009B5042">
              <w:rPr>
                <w:rFonts w:eastAsia="Palatino Linotype" w:cs="Calibri Light"/>
                <w:color w:val="000000"/>
                <w:sz w:val="18"/>
                <w:szCs w:val="18"/>
                <w:lang w:eastAsia="en-US"/>
              </w:rPr>
              <w:t>0</w:t>
            </w:r>
          </w:p>
        </w:tc>
        <w:tc>
          <w:tcPr>
            <w:cnfStyle w:val="000100000000" w:firstRow="0" w:lastRow="0" w:firstColumn="0" w:lastColumn="1" w:oddVBand="0" w:evenVBand="0" w:oddHBand="0" w:evenHBand="0" w:firstRowFirstColumn="0" w:firstRowLastColumn="0" w:lastRowFirstColumn="0" w:lastRowLastColumn="0"/>
            <w:tcW w:w="1618" w:type="dxa"/>
            <w:shd w:val="clear" w:color="auto" w:fill="auto"/>
          </w:tcPr>
          <w:p w:rsidR="00506B8D" w:rsidRPr="009B5042" w:rsidRDefault="00506B8D" w:rsidP="00BC7FE9">
            <w:pPr>
              <w:spacing w:after="0"/>
              <w:ind w:right="75" w:firstLine="0"/>
              <w:jc w:val="center"/>
              <w:rPr>
                <w:rFonts w:eastAsia="Palatino Linotype" w:cs="Calibri Light"/>
                <w:b w:val="0"/>
                <w:bCs w:val="0"/>
                <w:color w:val="000000"/>
                <w:sz w:val="18"/>
                <w:szCs w:val="18"/>
                <w:lang w:eastAsia="en-US"/>
              </w:rPr>
            </w:pPr>
            <w:r w:rsidRPr="009B5042">
              <w:rPr>
                <w:rFonts w:eastAsia="Palatino Linotype" w:cs="Calibri Light"/>
                <w:b w:val="0"/>
                <w:bCs w:val="0"/>
                <w:color w:val="000000"/>
                <w:sz w:val="18"/>
                <w:szCs w:val="18"/>
                <w:lang w:eastAsia="en-US"/>
              </w:rPr>
              <w:t>1</w:t>
            </w:r>
          </w:p>
        </w:tc>
      </w:tr>
      <w:tr w:rsidR="00506B8D" w:rsidRPr="009B5042" w:rsidTr="00B93CBF">
        <w:trPr>
          <w:cnfStyle w:val="010000000000" w:firstRow="0" w:lastRow="1"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72" w:type="dxa"/>
            <w:tcBorders>
              <w:top w:val="none" w:sz="0" w:space="0" w:color="auto"/>
              <w:left w:val="none" w:sz="0" w:space="0" w:color="auto"/>
              <w:bottom w:val="none" w:sz="0" w:space="0" w:color="auto"/>
            </w:tcBorders>
            <w:shd w:val="clear" w:color="auto" w:fill="auto"/>
          </w:tcPr>
          <w:p w:rsidR="00506B8D" w:rsidRPr="009B5042" w:rsidRDefault="00506B8D" w:rsidP="00BC7FE9">
            <w:pPr>
              <w:widowControl w:val="0"/>
              <w:tabs>
                <w:tab w:val="left" w:pos="476"/>
              </w:tabs>
              <w:spacing w:after="0"/>
              <w:ind w:firstLine="33"/>
              <w:rPr>
                <w:rFonts w:eastAsia="Palatino Linotype" w:cs="Calibri Light"/>
                <w:bCs w:val="0"/>
                <w:sz w:val="18"/>
                <w:szCs w:val="18"/>
                <w:lang w:eastAsia="en-US"/>
              </w:rPr>
            </w:pPr>
            <w:r w:rsidRPr="009B5042">
              <w:rPr>
                <w:rFonts w:eastAsia="Palatino Linotype" w:cs="Calibri Light"/>
                <w:sz w:val="18"/>
                <w:szCs w:val="18"/>
                <w:lang w:eastAsia="en-US"/>
              </w:rPr>
              <w:t>Razem</w:t>
            </w:r>
          </w:p>
        </w:tc>
        <w:tc>
          <w:tcPr>
            <w:cnfStyle w:val="000010000000" w:firstRow="0" w:lastRow="0" w:firstColumn="0" w:lastColumn="0" w:oddVBand="1" w:evenVBand="0" w:oddHBand="0" w:evenHBand="0" w:firstRowFirstColumn="0" w:firstRowLastColumn="0" w:lastRowFirstColumn="0" w:lastRowLastColumn="0"/>
            <w:tcW w:w="1823" w:type="dxa"/>
            <w:tcBorders>
              <w:top w:val="none" w:sz="0" w:space="0" w:color="auto"/>
              <w:left w:val="none" w:sz="0" w:space="0" w:color="auto"/>
              <w:bottom w:val="none" w:sz="0" w:space="0" w:color="auto"/>
              <w:right w:val="none" w:sz="0" w:space="0" w:color="auto"/>
            </w:tcBorders>
            <w:shd w:val="clear" w:color="auto" w:fill="auto"/>
            <w:vAlign w:val="center"/>
          </w:tcPr>
          <w:p w:rsidR="00506B8D" w:rsidRPr="009B5042" w:rsidRDefault="00506B8D" w:rsidP="00BC7FE9">
            <w:pPr>
              <w:spacing w:after="0"/>
              <w:ind w:right="75" w:firstLine="13"/>
              <w:jc w:val="center"/>
              <w:rPr>
                <w:rFonts w:eastAsia="Palatino Linotype" w:cs="Calibri Light"/>
                <w:b w:val="0"/>
                <w:color w:val="000000"/>
                <w:sz w:val="18"/>
                <w:szCs w:val="18"/>
                <w:lang w:eastAsia="en-US"/>
              </w:rPr>
            </w:pPr>
            <w:r>
              <w:rPr>
                <w:rFonts w:eastAsia="Palatino Linotype" w:cs="Calibri Light"/>
                <w:b w:val="0"/>
                <w:color w:val="000000"/>
                <w:sz w:val="18"/>
                <w:szCs w:val="18"/>
                <w:lang w:eastAsia="en-US"/>
              </w:rPr>
              <w:t>2</w:t>
            </w:r>
          </w:p>
        </w:tc>
        <w:tc>
          <w:tcPr>
            <w:tcW w:w="1984" w:type="dxa"/>
            <w:tcBorders>
              <w:top w:val="none" w:sz="0" w:space="0" w:color="auto"/>
              <w:bottom w:val="none" w:sz="0" w:space="0" w:color="auto"/>
            </w:tcBorders>
            <w:shd w:val="clear" w:color="auto" w:fill="auto"/>
          </w:tcPr>
          <w:p w:rsidR="00506B8D" w:rsidRPr="009B5042" w:rsidRDefault="00506B8D" w:rsidP="00BC7FE9">
            <w:pPr>
              <w:spacing w:after="0"/>
              <w:ind w:right="75" w:firstLine="0"/>
              <w:jc w:val="center"/>
              <w:cnfStyle w:val="010000000000" w:firstRow="0" w:lastRow="1" w:firstColumn="0" w:lastColumn="0" w:oddVBand="0" w:evenVBand="0" w:oddHBand="0" w:evenHBand="0" w:firstRowFirstColumn="0" w:firstRowLastColumn="0" w:lastRowFirstColumn="0" w:lastRowLastColumn="0"/>
              <w:rPr>
                <w:rFonts w:eastAsia="Palatino Linotype" w:cs="Calibri Light"/>
                <w:b w:val="0"/>
                <w:color w:val="000000"/>
                <w:sz w:val="18"/>
                <w:szCs w:val="18"/>
                <w:lang w:eastAsia="en-US"/>
              </w:rPr>
            </w:pPr>
            <w:r w:rsidRPr="009B5042">
              <w:rPr>
                <w:rFonts w:eastAsia="Palatino Linotype" w:cs="Calibri Light"/>
                <w:b w:val="0"/>
                <w:color w:val="000000"/>
                <w:sz w:val="18"/>
                <w:szCs w:val="18"/>
                <w:lang w:eastAsia="en-US"/>
              </w:rPr>
              <w:t>21</w:t>
            </w:r>
          </w:p>
        </w:tc>
        <w:tc>
          <w:tcPr>
            <w:cnfStyle w:val="000010000000" w:firstRow="0" w:lastRow="0" w:firstColumn="0" w:lastColumn="0" w:oddVBand="1" w:evenVBand="0" w:oddHBand="0" w:evenHBand="0" w:firstRowFirstColumn="0" w:firstRowLastColumn="0" w:lastRowFirstColumn="0" w:lastRowLastColumn="0"/>
            <w:tcW w:w="1351" w:type="dxa"/>
            <w:tcBorders>
              <w:top w:val="none" w:sz="0" w:space="0" w:color="auto"/>
              <w:left w:val="none" w:sz="0" w:space="0" w:color="auto"/>
              <w:bottom w:val="none" w:sz="0" w:space="0" w:color="auto"/>
              <w:right w:val="none" w:sz="0" w:space="0" w:color="auto"/>
            </w:tcBorders>
            <w:shd w:val="clear" w:color="auto" w:fill="auto"/>
          </w:tcPr>
          <w:p w:rsidR="00506B8D" w:rsidRPr="009B5042" w:rsidRDefault="00506B8D" w:rsidP="00BC7FE9">
            <w:pPr>
              <w:spacing w:after="0"/>
              <w:ind w:right="75" w:firstLine="0"/>
              <w:jc w:val="center"/>
              <w:rPr>
                <w:rFonts w:eastAsia="Palatino Linotype" w:cs="Calibri Light"/>
                <w:b w:val="0"/>
                <w:color w:val="000000"/>
                <w:sz w:val="18"/>
                <w:szCs w:val="18"/>
                <w:lang w:eastAsia="en-US"/>
              </w:rPr>
            </w:pPr>
            <w:r w:rsidRPr="009B5042">
              <w:rPr>
                <w:rFonts w:eastAsia="Palatino Linotype" w:cs="Calibri Light"/>
                <w:b w:val="0"/>
                <w:color w:val="000000"/>
                <w:sz w:val="18"/>
                <w:szCs w:val="18"/>
                <w:lang w:eastAsia="en-US"/>
              </w:rPr>
              <w:t>1</w:t>
            </w:r>
          </w:p>
        </w:tc>
        <w:tc>
          <w:tcPr>
            <w:cnfStyle w:val="000100000000" w:firstRow="0" w:lastRow="0" w:firstColumn="0" w:lastColumn="1" w:oddVBand="0" w:evenVBand="0" w:oddHBand="0" w:evenHBand="0" w:firstRowFirstColumn="0" w:firstRowLastColumn="0" w:lastRowFirstColumn="0" w:lastRowLastColumn="0"/>
            <w:tcW w:w="1618" w:type="dxa"/>
            <w:tcBorders>
              <w:top w:val="none" w:sz="0" w:space="0" w:color="auto"/>
              <w:bottom w:val="none" w:sz="0" w:space="0" w:color="auto"/>
              <w:right w:val="none" w:sz="0" w:space="0" w:color="auto"/>
            </w:tcBorders>
            <w:shd w:val="clear" w:color="auto" w:fill="auto"/>
          </w:tcPr>
          <w:p w:rsidR="00506B8D" w:rsidRPr="009B5042" w:rsidRDefault="00506B8D" w:rsidP="00BC7FE9">
            <w:pPr>
              <w:spacing w:after="0"/>
              <w:ind w:right="75" w:firstLine="0"/>
              <w:jc w:val="center"/>
              <w:rPr>
                <w:rFonts w:eastAsia="Palatino Linotype" w:cs="Calibri Light"/>
                <w:b w:val="0"/>
                <w:color w:val="000000"/>
                <w:sz w:val="18"/>
                <w:szCs w:val="18"/>
                <w:lang w:eastAsia="en-US"/>
              </w:rPr>
            </w:pPr>
            <w:r w:rsidRPr="009B5042">
              <w:rPr>
                <w:rFonts w:eastAsia="Palatino Linotype" w:cs="Calibri Light"/>
                <w:b w:val="0"/>
                <w:color w:val="000000"/>
                <w:sz w:val="18"/>
                <w:szCs w:val="18"/>
                <w:lang w:eastAsia="en-US"/>
              </w:rPr>
              <w:t>2</w:t>
            </w:r>
            <w:r>
              <w:rPr>
                <w:rFonts w:eastAsia="Palatino Linotype" w:cs="Calibri Light"/>
                <w:b w:val="0"/>
                <w:color w:val="000000"/>
                <w:sz w:val="18"/>
                <w:szCs w:val="18"/>
                <w:lang w:eastAsia="en-US"/>
              </w:rPr>
              <w:t>4</w:t>
            </w:r>
          </w:p>
        </w:tc>
      </w:tr>
    </w:tbl>
    <w:p w:rsidR="00506B8D" w:rsidRPr="009B5042" w:rsidRDefault="00506B8D" w:rsidP="00BC7FE9">
      <w:pPr>
        <w:widowControl w:val="0"/>
        <w:spacing w:after="0"/>
        <w:ind w:firstLine="0"/>
        <w:rPr>
          <w:rFonts w:eastAsia="Palatino Linotype" w:cs="Calibri Light"/>
          <w:sz w:val="18"/>
          <w:szCs w:val="18"/>
          <w:lang w:eastAsia="en-US"/>
        </w:rPr>
      </w:pPr>
      <w:r w:rsidRPr="009B5042">
        <w:rPr>
          <w:rFonts w:eastAsia="Palatino Linotype" w:cs="Calibri Light"/>
          <w:sz w:val="18"/>
          <w:szCs w:val="18"/>
          <w:lang w:eastAsia="en-US"/>
        </w:rPr>
        <w:t>* kontrola realizowana na podstawie automatycznych algorytmów kontrolnych oraz analiza ekspercka zbiorów z danymi</w:t>
      </w:r>
    </w:p>
    <w:p w:rsidR="00506B8D" w:rsidRPr="009B5042" w:rsidRDefault="00506B8D" w:rsidP="00BC7FE9">
      <w:pPr>
        <w:widowControl w:val="0"/>
        <w:spacing w:after="120"/>
        <w:ind w:firstLine="0"/>
        <w:rPr>
          <w:rFonts w:eastAsia="Palatino Linotype" w:cs="Calibri Light"/>
          <w:sz w:val="18"/>
          <w:szCs w:val="18"/>
          <w:lang w:eastAsia="en-US"/>
        </w:rPr>
      </w:pPr>
      <w:r w:rsidRPr="009B5042">
        <w:rPr>
          <w:rFonts w:eastAsia="Palatino Linotype" w:cs="Calibri Light"/>
          <w:sz w:val="18"/>
          <w:szCs w:val="18"/>
          <w:lang w:eastAsia="en-US"/>
        </w:rPr>
        <w:t>** weryfikacja danych zawartych w systemach wyliczania z dokumentami źródłowymi</w:t>
      </w:r>
    </w:p>
    <w:p w:rsidR="00506B8D" w:rsidRPr="009B5042" w:rsidRDefault="00506B8D" w:rsidP="00D375AE">
      <w:pPr>
        <w:spacing w:after="0"/>
        <w:rPr>
          <w:rFonts w:cs="Calibri Light"/>
        </w:rPr>
      </w:pPr>
      <w:r w:rsidRPr="009B5042">
        <w:rPr>
          <w:rFonts w:cs="Calibri Light"/>
        </w:rPr>
        <w:t xml:space="preserve">W toku kontroli zbiorów z danymi podmiotów objętych systemem gwarantowania, </w:t>
      </w:r>
      <w:r w:rsidRPr="009B5042">
        <w:rPr>
          <w:rFonts w:cs="Calibri Light"/>
        </w:rPr>
        <w:br/>
        <w:t>w II</w:t>
      </w:r>
      <w:r w:rsidRPr="001211A3">
        <w:rPr>
          <w:rFonts w:cs="Calibri Light"/>
        </w:rPr>
        <w:t>I</w:t>
      </w:r>
      <w:r w:rsidRPr="009B5042">
        <w:rPr>
          <w:rFonts w:cs="Calibri Light"/>
        </w:rPr>
        <w:t xml:space="preserve"> kwartale br. stwierdzono przypadki błędów takich jak: </w:t>
      </w:r>
    </w:p>
    <w:p w:rsidR="00506B8D" w:rsidRPr="009B5042" w:rsidRDefault="00506B8D" w:rsidP="008004CF">
      <w:pPr>
        <w:widowControl w:val="0"/>
        <w:numPr>
          <w:ilvl w:val="0"/>
          <w:numId w:val="19"/>
        </w:numPr>
        <w:spacing w:before="120" w:after="0"/>
        <w:ind w:left="714" w:hanging="357"/>
        <w:rPr>
          <w:rFonts w:cs="Calibri Light"/>
        </w:rPr>
      </w:pPr>
      <w:r w:rsidRPr="009B5042">
        <w:rPr>
          <w:rFonts w:eastAsia="Palatino Linotype" w:cs="Calibri Light"/>
          <w:lang w:eastAsia="en-US"/>
        </w:rPr>
        <w:t>stosowanie</w:t>
      </w:r>
      <w:r w:rsidRPr="009B5042">
        <w:rPr>
          <w:rFonts w:cs="Calibri Light"/>
        </w:rPr>
        <w:t xml:space="preserve"> nieprawidłowej definicji deponenta lub środków </w:t>
      </w:r>
      <w:r w:rsidRPr="009B5042">
        <w:rPr>
          <w:rFonts w:eastAsia="Palatino Linotype" w:cs="Calibri Light"/>
          <w:lang w:eastAsia="en-US"/>
        </w:rPr>
        <w:t>gwarantowanych</w:t>
      </w:r>
      <w:r>
        <w:rPr>
          <w:rFonts w:cs="Calibri Light"/>
        </w:rPr>
        <w:t>,</w:t>
      </w:r>
    </w:p>
    <w:p w:rsidR="00506B8D" w:rsidRPr="009B5042" w:rsidRDefault="00506B8D" w:rsidP="008004CF">
      <w:pPr>
        <w:widowControl w:val="0"/>
        <w:numPr>
          <w:ilvl w:val="0"/>
          <w:numId w:val="19"/>
        </w:numPr>
        <w:spacing w:after="0"/>
        <w:ind w:left="714" w:hanging="357"/>
        <w:rPr>
          <w:rFonts w:eastAsia="Palatino Linotype" w:cs="Calibri Light"/>
          <w:lang w:eastAsia="en-US"/>
        </w:rPr>
      </w:pPr>
      <w:r w:rsidRPr="009B5042">
        <w:rPr>
          <w:rFonts w:eastAsia="Palatino Linotype" w:cs="Calibri Light"/>
          <w:lang w:eastAsia="en-US"/>
        </w:rPr>
        <w:t>brak wykazania danych wymagany</w:t>
      </w:r>
      <w:r>
        <w:rPr>
          <w:rFonts w:eastAsia="Palatino Linotype" w:cs="Calibri Light"/>
          <w:lang w:eastAsia="en-US"/>
        </w:rPr>
        <w:t>ch zgodnie z rozporządzeniem MF,</w:t>
      </w:r>
    </w:p>
    <w:p w:rsidR="00506B8D" w:rsidRPr="009B5042" w:rsidRDefault="00506B8D" w:rsidP="008004CF">
      <w:pPr>
        <w:widowControl w:val="0"/>
        <w:numPr>
          <w:ilvl w:val="0"/>
          <w:numId w:val="19"/>
        </w:numPr>
        <w:spacing w:after="0"/>
        <w:ind w:left="714" w:hanging="357"/>
        <w:rPr>
          <w:rFonts w:eastAsia="Palatino Linotype" w:cs="Calibri Light"/>
          <w:lang w:eastAsia="en-US"/>
        </w:rPr>
      </w:pPr>
      <w:r w:rsidRPr="009B5042">
        <w:rPr>
          <w:rFonts w:eastAsia="Palatino Linotype" w:cs="Calibri Light"/>
          <w:lang w:eastAsia="en-US"/>
        </w:rPr>
        <w:t>wykazanie nieprawidłowych da</w:t>
      </w:r>
      <w:r>
        <w:rPr>
          <w:rFonts w:eastAsia="Palatino Linotype" w:cs="Calibri Light"/>
          <w:lang w:eastAsia="en-US"/>
        </w:rPr>
        <w:t>nych identyfikacyjnych klientów,</w:t>
      </w:r>
    </w:p>
    <w:p w:rsidR="00506B8D" w:rsidRPr="009B5042" w:rsidRDefault="00506B8D" w:rsidP="008004CF">
      <w:pPr>
        <w:widowControl w:val="0"/>
        <w:numPr>
          <w:ilvl w:val="0"/>
          <w:numId w:val="19"/>
        </w:numPr>
        <w:spacing w:after="0"/>
        <w:ind w:left="714" w:hanging="357"/>
        <w:rPr>
          <w:rFonts w:eastAsia="Palatino Linotype" w:cs="Calibri Light"/>
          <w:lang w:eastAsia="en-US"/>
        </w:rPr>
      </w:pPr>
      <w:r w:rsidRPr="009B5042">
        <w:rPr>
          <w:rFonts w:eastAsia="Palatino Linotype" w:cs="Calibri Light"/>
          <w:lang w:eastAsia="en-US"/>
        </w:rPr>
        <w:t xml:space="preserve">dwukrotne wykazanie w systemie </w:t>
      </w:r>
      <w:r>
        <w:rPr>
          <w:rFonts w:eastAsia="Palatino Linotype" w:cs="Calibri Light"/>
          <w:lang w:eastAsia="en-US"/>
        </w:rPr>
        <w:t>wyliczania tych samych klientów,</w:t>
      </w:r>
    </w:p>
    <w:p w:rsidR="00506B8D" w:rsidRPr="009B5042" w:rsidRDefault="00506B8D" w:rsidP="008004CF">
      <w:pPr>
        <w:widowControl w:val="0"/>
        <w:numPr>
          <w:ilvl w:val="0"/>
          <w:numId w:val="19"/>
        </w:numPr>
        <w:spacing w:after="0"/>
        <w:ind w:left="714" w:hanging="357"/>
        <w:rPr>
          <w:rFonts w:eastAsia="Palatino Linotype" w:cs="Calibri Light"/>
          <w:lang w:eastAsia="en-US"/>
        </w:rPr>
      </w:pPr>
      <w:r w:rsidRPr="009B5042">
        <w:rPr>
          <w:rFonts w:eastAsia="Palatino Linotype" w:cs="Calibri Light"/>
          <w:lang w:eastAsia="en-US"/>
        </w:rPr>
        <w:t>stosowanie</w:t>
      </w:r>
      <w:r>
        <w:rPr>
          <w:rFonts w:eastAsia="Palatino Linotype" w:cs="Calibri Light"/>
          <w:lang w:eastAsia="en-US"/>
        </w:rPr>
        <w:t xml:space="preserve"> błędnych oznaczeń słownikowych,</w:t>
      </w:r>
    </w:p>
    <w:p w:rsidR="00506B8D" w:rsidRPr="009B5042" w:rsidRDefault="00506B8D" w:rsidP="008004CF">
      <w:pPr>
        <w:widowControl w:val="0"/>
        <w:numPr>
          <w:ilvl w:val="0"/>
          <w:numId w:val="19"/>
        </w:numPr>
        <w:spacing w:after="0"/>
        <w:ind w:left="714" w:hanging="357"/>
        <w:rPr>
          <w:rFonts w:eastAsia="Palatino Linotype" w:cs="Calibri Light"/>
          <w:lang w:eastAsia="en-US"/>
        </w:rPr>
      </w:pPr>
      <w:r w:rsidRPr="009B5042">
        <w:rPr>
          <w:rFonts w:eastAsia="Palatino Linotype" w:cs="Calibri Light"/>
          <w:lang w:eastAsia="en-US"/>
        </w:rPr>
        <w:t>brak wykazania w systemie</w:t>
      </w:r>
      <w:r>
        <w:rPr>
          <w:rFonts w:eastAsia="Palatino Linotype" w:cs="Calibri Light"/>
          <w:lang w:eastAsia="en-US"/>
        </w:rPr>
        <w:t xml:space="preserve"> wyliczania zajęć egzekucyjnych,</w:t>
      </w:r>
    </w:p>
    <w:p w:rsidR="00506B8D" w:rsidRPr="00CE5AA4" w:rsidRDefault="00506B8D" w:rsidP="008004CF">
      <w:pPr>
        <w:widowControl w:val="0"/>
        <w:numPr>
          <w:ilvl w:val="0"/>
          <w:numId w:val="19"/>
        </w:numPr>
        <w:spacing w:after="120"/>
        <w:ind w:left="714" w:hanging="357"/>
        <w:rPr>
          <w:rFonts w:cs="Calibri Light"/>
        </w:rPr>
      </w:pPr>
      <w:r w:rsidRPr="009B5042">
        <w:rPr>
          <w:rFonts w:eastAsia="Palatino Linotype" w:cs="Calibri Light"/>
          <w:lang w:eastAsia="en-US"/>
        </w:rPr>
        <w:t>wykazanie dyspozycji na wypadek śmierci w przypadku rachunków wspólnych</w:t>
      </w:r>
      <w:r>
        <w:rPr>
          <w:rFonts w:eastAsia="Palatino Linotype" w:cs="Calibri Light"/>
          <w:lang w:eastAsia="en-US"/>
        </w:rPr>
        <w:t>.</w:t>
      </w:r>
    </w:p>
    <w:p w:rsidR="00506B8D" w:rsidRPr="009B5042" w:rsidRDefault="00506B8D" w:rsidP="00E947F4">
      <w:pPr>
        <w:spacing w:after="120"/>
        <w:ind w:firstLine="0"/>
        <w:rPr>
          <w:rFonts w:eastAsia="Palatino Linotype" w:cs="Calibri Light"/>
          <w:lang w:eastAsia="en-US"/>
        </w:rPr>
      </w:pPr>
      <w:r w:rsidRPr="009B5042">
        <w:rPr>
          <w:rFonts w:eastAsia="Palatino Linotype" w:cs="Calibri Light"/>
          <w:lang w:eastAsia="en-US"/>
        </w:rPr>
        <w:t>Ponadto w części kontrolowanych banków zidentyfikowano przypadki błędów takich jak:</w:t>
      </w:r>
    </w:p>
    <w:p w:rsidR="00506B8D" w:rsidRPr="009B5042" w:rsidRDefault="00506B8D" w:rsidP="008004CF">
      <w:pPr>
        <w:numPr>
          <w:ilvl w:val="0"/>
          <w:numId w:val="19"/>
        </w:numPr>
        <w:spacing w:after="0"/>
        <w:ind w:left="714" w:hanging="357"/>
        <w:rPr>
          <w:rFonts w:eastAsia="Palatino Linotype" w:cs="Calibri Light"/>
          <w:sz w:val="23"/>
          <w:szCs w:val="23"/>
          <w:lang w:eastAsia="en-US"/>
        </w:rPr>
      </w:pPr>
      <w:r w:rsidRPr="009B5042">
        <w:rPr>
          <w:rFonts w:cs="Calibri Light"/>
        </w:rPr>
        <w:t>wykazanie nieposiadających osobowości prawnej jednostek organizacyjnych lub pomocniczych innych podm</w:t>
      </w:r>
      <w:r>
        <w:rPr>
          <w:rFonts w:cs="Calibri Light"/>
        </w:rPr>
        <w:t>iotów jako odrębnych deponentów,</w:t>
      </w:r>
    </w:p>
    <w:p w:rsidR="00506B8D" w:rsidRPr="009B5042" w:rsidRDefault="00506B8D" w:rsidP="008004CF">
      <w:pPr>
        <w:numPr>
          <w:ilvl w:val="0"/>
          <w:numId w:val="19"/>
        </w:numPr>
        <w:spacing w:after="0"/>
        <w:ind w:left="714" w:hanging="357"/>
        <w:rPr>
          <w:rFonts w:eastAsia="Palatino Linotype" w:cs="Calibri Light"/>
          <w:sz w:val="23"/>
          <w:szCs w:val="23"/>
          <w:lang w:eastAsia="en-US"/>
        </w:rPr>
      </w:pPr>
      <w:r w:rsidRPr="009B5042">
        <w:rPr>
          <w:rFonts w:cs="Calibri Light"/>
        </w:rPr>
        <w:t>wykazanie jako deponentów spółek cywilnych</w:t>
      </w:r>
      <w:r>
        <w:rPr>
          <w:rFonts w:cs="Calibri Light"/>
        </w:rPr>
        <w:t xml:space="preserve"> zamiast wspólników tych spółek,</w:t>
      </w:r>
    </w:p>
    <w:p w:rsidR="00506B8D" w:rsidRPr="009B5042" w:rsidRDefault="00506B8D" w:rsidP="008004CF">
      <w:pPr>
        <w:numPr>
          <w:ilvl w:val="0"/>
          <w:numId w:val="19"/>
        </w:numPr>
        <w:spacing w:after="0"/>
        <w:ind w:left="714" w:hanging="357"/>
        <w:rPr>
          <w:rFonts w:eastAsia="Palatino Linotype" w:cs="Calibri Light"/>
          <w:sz w:val="23"/>
          <w:szCs w:val="23"/>
          <w:lang w:eastAsia="en-US"/>
        </w:rPr>
      </w:pPr>
      <w:r w:rsidRPr="009B5042">
        <w:rPr>
          <w:rFonts w:eastAsia="Palatino Linotype" w:cs="Calibri Light"/>
          <w:lang w:eastAsia="en-US"/>
        </w:rPr>
        <w:t>nieprawidłowe prezentowanie danych osób fizycznych prowadzących działalność gospodarczą i niepub</w:t>
      </w:r>
      <w:r>
        <w:rPr>
          <w:rFonts w:eastAsia="Palatino Linotype" w:cs="Calibri Light"/>
          <w:lang w:eastAsia="en-US"/>
        </w:rPr>
        <w:t>licznych placówek oświatowych,</w:t>
      </w:r>
    </w:p>
    <w:p w:rsidR="00506B8D" w:rsidRPr="00B940D6" w:rsidRDefault="00506B8D" w:rsidP="008004CF">
      <w:pPr>
        <w:numPr>
          <w:ilvl w:val="0"/>
          <w:numId w:val="19"/>
        </w:numPr>
        <w:spacing w:after="0"/>
        <w:ind w:left="714" w:hanging="357"/>
        <w:rPr>
          <w:rFonts w:eastAsia="Palatino Linotype" w:cs="Calibri Light"/>
          <w:lang w:eastAsia="en-US"/>
        </w:rPr>
      </w:pPr>
      <w:r w:rsidRPr="00CD6F5C">
        <w:rPr>
          <w:rFonts w:eastAsia="Palatino Linotype" w:cs="Calibri Light"/>
          <w:lang w:eastAsia="en-US"/>
        </w:rPr>
        <w:t>nieprawidłowe prezentowanie rachunków wspólnych,</w:t>
      </w:r>
      <w:r w:rsidRPr="00CD6F5C">
        <w:rPr>
          <w:rFonts w:cs="Calibri Light"/>
        </w:rPr>
        <w:t xml:space="preserve"> </w:t>
      </w:r>
      <w:r w:rsidRPr="00B940D6">
        <w:rPr>
          <w:rFonts w:cs="Calibri Light"/>
        </w:rPr>
        <w:t xml:space="preserve">w tym nieprawidłowy podział </w:t>
      </w:r>
      <w:r>
        <w:rPr>
          <w:rFonts w:cs="Calibri Light"/>
        </w:rPr>
        <w:t>środków na rachunkach wspólnych,</w:t>
      </w:r>
    </w:p>
    <w:p w:rsidR="00506B8D" w:rsidRPr="007E6087" w:rsidRDefault="00506B8D" w:rsidP="008004CF">
      <w:pPr>
        <w:widowControl w:val="0"/>
        <w:numPr>
          <w:ilvl w:val="0"/>
          <w:numId w:val="20"/>
        </w:numPr>
        <w:spacing w:after="0"/>
        <w:ind w:left="714" w:hanging="357"/>
        <w:rPr>
          <w:rFonts w:eastAsia="Palatino Linotype" w:cs="Calibri Light"/>
          <w:lang w:eastAsia="en-US"/>
        </w:rPr>
      </w:pPr>
      <w:r>
        <w:rPr>
          <w:rFonts w:eastAsia="Palatino Linotype" w:cs="Calibri Light"/>
          <w:lang w:eastAsia="en-US"/>
        </w:rPr>
        <w:t xml:space="preserve">nieprawidłowe wykazanie lub brak wykazania </w:t>
      </w:r>
      <w:r w:rsidRPr="007E6087">
        <w:rPr>
          <w:rFonts w:eastAsia="Palatino Linotype" w:cs="Calibri Light"/>
          <w:lang w:eastAsia="en-US"/>
        </w:rPr>
        <w:t xml:space="preserve">daty ostatniej </w:t>
      </w:r>
      <w:r>
        <w:rPr>
          <w:rFonts w:eastAsia="Palatino Linotype" w:cs="Calibri Light"/>
          <w:lang w:eastAsia="en-US"/>
        </w:rPr>
        <w:t>operacji na rachunkach klientów,</w:t>
      </w:r>
    </w:p>
    <w:p w:rsidR="00506B8D" w:rsidRPr="007E6087" w:rsidRDefault="00506B8D" w:rsidP="008004CF">
      <w:pPr>
        <w:widowControl w:val="0"/>
        <w:numPr>
          <w:ilvl w:val="0"/>
          <w:numId w:val="20"/>
        </w:numPr>
        <w:spacing w:after="0"/>
        <w:ind w:left="714" w:hanging="357"/>
        <w:rPr>
          <w:rFonts w:eastAsia="Palatino Linotype" w:cs="Calibri Light"/>
          <w:lang w:eastAsia="en-US"/>
        </w:rPr>
      </w:pPr>
      <w:r w:rsidRPr="007E6087">
        <w:rPr>
          <w:rFonts w:eastAsia="Palatino Linotype" w:cs="Calibri Light"/>
          <w:lang w:eastAsia="en-US"/>
        </w:rPr>
        <w:t>jednostkowe przypadki nieprawidłowego prezentowania rachunków powierniczych oraz inwestycyjnych.</w:t>
      </w:r>
    </w:p>
    <w:p w:rsidR="00506B8D" w:rsidRPr="00B940D6" w:rsidRDefault="00506B8D" w:rsidP="00506B8D">
      <w:pPr>
        <w:spacing w:before="120" w:after="120"/>
      </w:pPr>
      <w:r w:rsidRPr="00B940D6">
        <w:rPr>
          <w:rFonts w:cs="Calibri Light"/>
        </w:rPr>
        <w:t>W przypadku banku, w którego siedzibie przeprowadzono kontrolę danych, stwierdzono także</w:t>
      </w:r>
      <w:r w:rsidRPr="00B940D6">
        <w:t xml:space="preserve">: </w:t>
      </w:r>
    </w:p>
    <w:p w:rsidR="00506B8D" w:rsidRPr="006E3534" w:rsidRDefault="00506B8D" w:rsidP="008004CF">
      <w:pPr>
        <w:widowControl w:val="0"/>
        <w:numPr>
          <w:ilvl w:val="0"/>
          <w:numId w:val="20"/>
        </w:numPr>
        <w:spacing w:after="0"/>
        <w:ind w:left="714" w:hanging="357"/>
        <w:rPr>
          <w:rFonts w:eastAsia="Palatino Linotype" w:cs="Calibri Light"/>
          <w:lang w:eastAsia="en-US"/>
        </w:rPr>
      </w:pPr>
      <w:r w:rsidRPr="006E3534">
        <w:rPr>
          <w:rFonts w:eastAsia="Palatino Linotype" w:cs="Calibri Light"/>
          <w:lang w:eastAsia="en-US"/>
        </w:rPr>
        <w:t xml:space="preserve">brak wykazania w zbiorze przekazanym do kontroli niektórych wierzytelności, w tym dotyczących </w:t>
      </w:r>
      <w:r w:rsidRPr="006E3534">
        <w:rPr>
          <w:rFonts w:cs="Calibri Light"/>
        </w:rPr>
        <w:t>transakcji nierozliczonych oraz nadpłat kredytów,</w:t>
      </w:r>
    </w:p>
    <w:p w:rsidR="00506B8D" w:rsidRPr="006E3534" w:rsidRDefault="00506B8D" w:rsidP="008004CF">
      <w:pPr>
        <w:widowControl w:val="0"/>
        <w:numPr>
          <w:ilvl w:val="0"/>
          <w:numId w:val="20"/>
        </w:numPr>
        <w:spacing w:after="0"/>
        <w:ind w:left="714" w:hanging="357"/>
        <w:rPr>
          <w:rFonts w:eastAsia="Palatino Linotype" w:cs="Calibri Light"/>
          <w:lang w:eastAsia="en-US"/>
        </w:rPr>
      </w:pPr>
      <w:r w:rsidRPr="006E3534">
        <w:rPr>
          <w:rFonts w:eastAsia="Palatino Linotype" w:cs="Calibri Light"/>
          <w:lang w:eastAsia="en-US"/>
        </w:rPr>
        <w:t>zastosowan</w:t>
      </w:r>
      <w:r>
        <w:rPr>
          <w:rFonts w:eastAsia="Palatino Linotype" w:cs="Calibri Light"/>
          <w:lang w:eastAsia="en-US"/>
        </w:rPr>
        <w:t>ie nieprawidłowego</w:t>
      </w:r>
      <w:r w:rsidRPr="006E3534">
        <w:rPr>
          <w:rFonts w:eastAsia="Palatino Linotype" w:cs="Calibri Light"/>
          <w:lang w:eastAsia="en-US"/>
        </w:rPr>
        <w:t xml:space="preserve"> kurs</w:t>
      </w:r>
      <w:r>
        <w:rPr>
          <w:rFonts w:eastAsia="Palatino Linotype" w:cs="Calibri Light"/>
          <w:lang w:eastAsia="en-US"/>
        </w:rPr>
        <w:t>u</w:t>
      </w:r>
      <w:r w:rsidRPr="006E3534">
        <w:rPr>
          <w:rFonts w:eastAsia="Palatino Linotype" w:cs="Calibri Light"/>
          <w:lang w:eastAsia="en-US"/>
        </w:rPr>
        <w:t xml:space="preserve"> euro do wyliczenia limitu gwarancji (bank przyjął wartość kursu euro </w:t>
      </w:r>
      <w:r w:rsidRPr="006E3534">
        <w:rPr>
          <w:rFonts w:cs="Calibri Light"/>
        </w:rPr>
        <w:t>z dnia poprzedzającego dzień wymagany</w:t>
      </w:r>
      <w:r w:rsidRPr="006E3534">
        <w:rPr>
          <w:rFonts w:eastAsia="Palatino Linotype" w:cs="Calibri Light"/>
          <w:lang w:eastAsia="en-US"/>
        </w:rPr>
        <w:t>),</w:t>
      </w:r>
    </w:p>
    <w:p w:rsidR="00506B8D" w:rsidRPr="006E3534" w:rsidRDefault="00506B8D" w:rsidP="008004CF">
      <w:pPr>
        <w:widowControl w:val="0"/>
        <w:numPr>
          <w:ilvl w:val="0"/>
          <w:numId w:val="20"/>
        </w:numPr>
        <w:spacing w:after="0"/>
        <w:ind w:left="714" w:hanging="357"/>
        <w:rPr>
          <w:rFonts w:eastAsia="Palatino Linotype" w:cs="Calibri Light"/>
          <w:lang w:eastAsia="en-US"/>
        </w:rPr>
      </w:pPr>
      <w:r w:rsidRPr="006E3534">
        <w:rPr>
          <w:rFonts w:eastAsia="Palatino Linotype" w:cs="Calibri Light"/>
          <w:lang w:eastAsia="en-US"/>
        </w:rPr>
        <w:t>jednostkowe przypadki wykazania w kontrolowanym zbiorze danych innych niż dane, które były dostępne w dokumentacji źródłowej.</w:t>
      </w:r>
    </w:p>
    <w:p w:rsidR="00506B8D" w:rsidRPr="007E6087" w:rsidRDefault="00506B8D" w:rsidP="00506B8D">
      <w:pPr>
        <w:spacing w:before="120" w:after="120"/>
        <w:rPr>
          <w:rFonts w:cs="Calibri Light"/>
        </w:rPr>
      </w:pPr>
      <w:r w:rsidRPr="00B940D6">
        <w:rPr>
          <w:rFonts w:cs="Calibri Light"/>
        </w:rPr>
        <w:t xml:space="preserve">Porównanie wyników kontroli wykonanych w okresie sprawozdawczym z wynikami poprzednich kontroli w tych samych podmiotach oraz analiza treści pism stanowiących odpowiedzi </w:t>
      </w:r>
      <w:r>
        <w:rPr>
          <w:rFonts w:cs="Calibri Light"/>
        </w:rPr>
        <w:t>podmiotów</w:t>
      </w:r>
      <w:r w:rsidRPr="00B940D6">
        <w:rPr>
          <w:rFonts w:cs="Calibri Light"/>
        </w:rPr>
        <w:t xml:space="preserve"> na pisma pokontrolne Funduszu wykazały, że w celu poprawy jakości danych w systemach wyliczania, podmioty te dążyły do wyeliminowania nieprawidłowości oraz uzupełniały i korygowały dane na podstawie dokumentów źródłowych oraz informacji uzyskanych od klientów.</w:t>
      </w:r>
    </w:p>
    <w:p w:rsidR="00506B8D" w:rsidRPr="00E947F4" w:rsidRDefault="00506B8D" w:rsidP="008004CF">
      <w:pPr>
        <w:pStyle w:val="Nagwek3"/>
        <w:numPr>
          <w:ilvl w:val="1"/>
          <w:numId w:val="3"/>
        </w:numPr>
        <w:ind w:left="357" w:hanging="357"/>
        <w:rPr>
          <w:rFonts w:cs="Calibri Light"/>
          <w:sz w:val="24"/>
        </w:rPr>
      </w:pPr>
      <w:bookmarkStart w:id="44" w:name="_Toc116304514"/>
      <w:r w:rsidRPr="00E947F4">
        <w:rPr>
          <w:rFonts w:cs="Calibri Light"/>
          <w:sz w:val="24"/>
        </w:rPr>
        <w:t>Analiza wyników kontroli prawidłowości danych</w:t>
      </w:r>
      <w:bookmarkEnd w:id="44"/>
      <w:r w:rsidRPr="00E947F4">
        <w:rPr>
          <w:rFonts w:cs="Calibri Light"/>
          <w:sz w:val="24"/>
        </w:rPr>
        <w:t xml:space="preserve"> </w:t>
      </w:r>
    </w:p>
    <w:p w:rsidR="00506B8D" w:rsidRDefault="00506B8D" w:rsidP="00E947F4">
      <w:pPr>
        <w:spacing w:before="120" w:after="120"/>
        <w:rPr>
          <w:rFonts w:cs="Calibri Light"/>
        </w:rPr>
      </w:pPr>
      <w:r>
        <w:rPr>
          <w:rFonts w:cs="Calibri Light"/>
        </w:rPr>
        <w:t xml:space="preserve">W III kwartale br. Zarządowi i Radzie Funduszu przekazano informację w sprawie analizy wyników kontroli prawidłowości danych zawartych w systemach wyliczania banków i kas, wykonanych w I półroczu 2022 r. </w:t>
      </w:r>
    </w:p>
    <w:p w:rsidR="00506B8D" w:rsidRDefault="00506B8D" w:rsidP="00506B8D">
      <w:pPr>
        <w:spacing w:before="120" w:after="120"/>
        <w:rPr>
          <w:rFonts w:eastAsia="Palatino Linotype" w:cs="Calibri Light"/>
          <w:lang w:eastAsia="en-US"/>
        </w:rPr>
      </w:pPr>
      <w:r>
        <w:rPr>
          <w:rFonts w:cs="Calibri Light"/>
        </w:rPr>
        <w:t>W informacji wskazano, że p</w:t>
      </w:r>
      <w:r w:rsidRPr="00E43010">
        <w:rPr>
          <w:rFonts w:eastAsia="Palatino Linotype" w:cs="Calibri Light"/>
          <w:lang w:eastAsia="en-US"/>
        </w:rPr>
        <w:t xml:space="preserve">odmioty których dane objęte były kontrolą w </w:t>
      </w:r>
      <w:r>
        <w:rPr>
          <w:rFonts w:eastAsia="Palatino Linotype" w:cs="Calibri Light"/>
          <w:lang w:eastAsia="en-US"/>
        </w:rPr>
        <w:t>I</w:t>
      </w:r>
      <w:r w:rsidRPr="00E43010">
        <w:rPr>
          <w:rFonts w:eastAsia="Palatino Linotype" w:cs="Calibri Light"/>
          <w:lang w:eastAsia="en-US"/>
        </w:rPr>
        <w:t xml:space="preserve"> półroczu 202</w:t>
      </w:r>
      <w:r>
        <w:rPr>
          <w:rFonts w:eastAsia="Palatino Linotype" w:cs="Calibri Light"/>
          <w:lang w:eastAsia="en-US"/>
        </w:rPr>
        <w:t>2</w:t>
      </w:r>
      <w:r w:rsidRPr="00E43010">
        <w:rPr>
          <w:rFonts w:eastAsia="Palatino Linotype" w:cs="Calibri Light"/>
          <w:lang w:eastAsia="en-US"/>
        </w:rPr>
        <w:t xml:space="preserve"> r., </w:t>
      </w:r>
      <w:r w:rsidRPr="00E43010">
        <w:rPr>
          <w:rFonts w:cs="Calibri Light"/>
          <w:lang w:eastAsia="en-US"/>
        </w:rPr>
        <w:t>posiadały na dzień sporządzenia danych do kontroli systemy</w:t>
      </w:r>
      <w:r w:rsidRPr="001C48EA">
        <w:rPr>
          <w:rFonts w:cs="Calibri Light"/>
          <w:lang w:eastAsia="en-US"/>
        </w:rPr>
        <w:t xml:space="preserve"> wyliczania wymagane przepisami ustawy o</w:t>
      </w:r>
      <w:r>
        <w:rPr>
          <w:rFonts w:cs="Calibri Light"/>
          <w:lang w:eastAsia="en-US"/>
        </w:rPr>
        <w:t> </w:t>
      </w:r>
      <w:r w:rsidRPr="001C48EA">
        <w:rPr>
          <w:rFonts w:cs="Calibri Light"/>
          <w:lang w:eastAsia="en-US"/>
        </w:rPr>
        <w:t>BFG</w:t>
      </w:r>
      <w:r>
        <w:rPr>
          <w:rFonts w:cs="Calibri Light"/>
          <w:lang w:eastAsia="en-US"/>
        </w:rPr>
        <w:t>,</w:t>
      </w:r>
      <w:r>
        <w:rPr>
          <w:rFonts w:eastAsia="Palatino Linotype" w:cs="Calibri Light"/>
          <w:lang w:eastAsia="en-US"/>
        </w:rPr>
        <w:t xml:space="preserve"> oraz że</w:t>
      </w:r>
      <w:r w:rsidRPr="00782397">
        <w:rPr>
          <w:rFonts w:eastAsia="Palatino Linotype" w:cs="Calibri Light"/>
          <w:lang w:eastAsia="en-US"/>
        </w:rPr>
        <w:t xml:space="preserve"> prowadzą działania w celu poprawy jakości danych zawartych w</w:t>
      </w:r>
      <w:r>
        <w:rPr>
          <w:rFonts w:eastAsia="Palatino Linotype" w:cs="Calibri Light"/>
          <w:lang w:eastAsia="en-US"/>
        </w:rPr>
        <w:t xml:space="preserve"> tych </w:t>
      </w:r>
      <w:r w:rsidRPr="00782397">
        <w:rPr>
          <w:rFonts w:eastAsia="Palatino Linotype" w:cs="Calibri Light"/>
          <w:lang w:eastAsia="en-US"/>
        </w:rPr>
        <w:t>systemach</w:t>
      </w:r>
      <w:r>
        <w:rPr>
          <w:rFonts w:eastAsia="Palatino Linotype" w:cs="Calibri Light"/>
          <w:lang w:eastAsia="en-US"/>
        </w:rPr>
        <w:t>.</w:t>
      </w:r>
      <w:r w:rsidRPr="00782397">
        <w:rPr>
          <w:rFonts w:eastAsia="Palatino Linotype" w:cs="Calibri Light"/>
          <w:lang w:eastAsia="en-US"/>
        </w:rPr>
        <w:t xml:space="preserve"> </w:t>
      </w:r>
      <w:r>
        <w:rPr>
          <w:rFonts w:eastAsia="Palatino Linotype" w:cs="Calibri Light"/>
          <w:lang w:eastAsia="en-US"/>
        </w:rPr>
        <w:t>N</w:t>
      </w:r>
      <w:r w:rsidRPr="00782397">
        <w:rPr>
          <w:rFonts w:eastAsia="Palatino Linotype" w:cs="Calibri Light"/>
          <w:lang w:eastAsia="en-US"/>
        </w:rPr>
        <w:t xml:space="preserve">iektóre z </w:t>
      </w:r>
      <w:r>
        <w:rPr>
          <w:rFonts w:eastAsia="Palatino Linotype" w:cs="Calibri Light"/>
          <w:lang w:eastAsia="en-US"/>
        </w:rPr>
        <w:t>podmiotów</w:t>
      </w:r>
      <w:r w:rsidRPr="00782397">
        <w:rPr>
          <w:rFonts w:eastAsia="Palatino Linotype" w:cs="Calibri Light"/>
          <w:lang w:eastAsia="en-US"/>
        </w:rPr>
        <w:t xml:space="preserve"> powinny kontynuować prace w zakresie prawidłowej parametryzacji systemów informatycznych, w tym w celu wykazywania w</w:t>
      </w:r>
      <w:r>
        <w:rPr>
          <w:rFonts w:eastAsia="Palatino Linotype" w:cs="Calibri Light"/>
          <w:lang w:eastAsia="en-US"/>
        </w:rPr>
        <w:t> </w:t>
      </w:r>
      <w:r w:rsidRPr="00782397">
        <w:rPr>
          <w:rFonts w:eastAsia="Palatino Linotype" w:cs="Calibri Light"/>
          <w:lang w:eastAsia="en-US"/>
        </w:rPr>
        <w:t xml:space="preserve">systemach wyliczania poprawnych oznaczeń klientów i wierzytelności pod kątem definicji deponenta i środków </w:t>
      </w:r>
      <w:r>
        <w:rPr>
          <w:rFonts w:eastAsia="Palatino Linotype" w:cs="Calibri Light"/>
          <w:lang w:eastAsia="en-US"/>
        </w:rPr>
        <w:t>gwarantowanych</w:t>
      </w:r>
      <w:r w:rsidRPr="00782397">
        <w:rPr>
          <w:rFonts w:eastAsia="Palatino Linotype" w:cs="Calibri Light"/>
          <w:lang w:eastAsia="en-US"/>
        </w:rPr>
        <w:t>.</w:t>
      </w:r>
    </w:p>
    <w:p w:rsidR="00FD1099" w:rsidRPr="00DF679D" w:rsidRDefault="00FD1099" w:rsidP="008004CF">
      <w:pPr>
        <w:pStyle w:val="Nagwek2"/>
        <w:numPr>
          <w:ilvl w:val="0"/>
          <w:numId w:val="3"/>
        </w:numPr>
        <w:spacing w:before="200" w:after="120"/>
        <w:ind w:left="357" w:hanging="357"/>
        <w:rPr>
          <w:rFonts w:cs="Calibri Light"/>
        </w:rPr>
      </w:pPr>
      <w:bookmarkStart w:id="45" w:name="_Toc32571601"/>
      <w:bookmarkStart w:id="46" w:name="_Toc34836165"/>
      <w:bookmarkStart w:id="47" w:name="_Toc116304515"/>
      <w:r w:rsidRPr="00DF679D">
        <w:rPr>
          <w:rFonts w:cs="Calibri Light"/>
        </w:rPr>
        <w:t>Dochodzenie roszczeń z tytułu wypłat środków gwarantowanych</w:t>
      </w:r>
      <w:bookmarkEnd w:id="45"/>
      <w:bookmarkEnd w:id="46"/>
      <w:bookmarkEnd w:id="47"/>
      <w:r w:rsidRPr="00DF679D">
        <w:rPr>
          <w:rFonts w:cs="Calibri Light"/>
        </w:rPr>
        <w:t xml:space="preserve"> </w:t>
      </w:r>
    </w:p>
    <w:p w:rsidR="007412DC" w:rsidRPr="00DF679D" w:rsidRDefault="007412DC" w:rsidP="007412DC">
      <w:pPr>
        <w:pStyle w:val="Teksttreci20"/>
        <w:shd w:val="clear" w:color="auto" w:fill="auto"/>
        <w:spacing w:before="120" w:after="120" w:line="240" w:lineRule="auto"/>
        <w:ind w:firstLine="357"/>
        <w:rPr>
          <w:rFonts w:cs="Calibri Light"/>
          <w:lang w:bidi="pl-PL"/>
        </w:rPr>
      </w:pPr>
      <w:r w:rsidRPr="00DF679D">
        <w:rPr>
          <w:rFonts w:cs="Calibri Light"/>
          <w:lang w:bidi="pl-PL"/>
        </w:rPr>
        <w:t xml:space="preserve">Według stanu na dzień 30 </w:t>
      </w:r>
      <w:r w:rsidR="009D227B" w:rsidRPr="00DF679D">
        <w:rPr>
          <w:rFonts w:cs="Calibri Light"/>
          <w:lang w:bidi="pl-PL"/>
        </w:rPr>
        <w:t>września</w:t>
      </w:r>
      <w:r w:rsidRPr="00DF679D">
        <w:rPr>
          <w:rFonts w:cs="Calibri Light"/>
          <w:lang w:bidi="pl-PL"/>
        </w:rPr>
        <w:t xml:space="preserve"> 2022 r. Fundusz uczestniczył w 14 postępowaniach upadłościowych jako wierzyciel z tytułu wypłaty środków gwarantowanych z łącznym zaangażowaniem w wysokości 5 43</w:t>
      </w:r>
      <w:r w:rsidR="000716ED" w:rsidRPr="00DF679D">
        <w:rPr>
          <w:rFonts w:cs="Calibri Light"/>
          <w:lang w:bidi="pl-PL"/>
        </w:rPr>
        <w:t>4</w:t>
      </w:r>
      <w:r w:rsidRPr="00DF679D">
        <w:rPr>
          <w:rFonts w:cs="Calibri Light"/>
          <w:lang w:bidi="pl-PL"/>
        </w:rPr>
        <w:t> 9</w:t>
      </w:r>
      <w:r w:rsidR="000716ED" w:rsidRPr="00DF679D">
        <w:rPr>
          <w:rFonts w:cs="Calibri Light"/>
          <w:lang w:bidi="pl-PL"/>
        </w:rPr>
        <w:t>87</w:t>
      </w:r>
      <w:r w:rsidRPr="00DF679D">
        <w:rPr>
          <w:rFonts w:cs="Calibri Light"/>
          <w:lang w:bidi="pl-PL"/>
        </w:rPr>
        <w:t>,</w:t>
      </w:r>
      <w:r w:rsidR="000716ED" w:rsidRPr="00DF679D">
        <w:rPr>
          <w:rFonts w:cs="Calibri Light"/>
          <w:lang w:bidi="pl-PL"/>
        </w:rPr>
        <w:t>1</w:t>
      </w:r>
      <w:r w:rsidRPr="00DF679D">
        <w:rPr>
          <w:rFonts w:cs="Calibri Light"/>
          <w:lang w:bidi="pl-PL"/>
        </w:rPr>
        <w:t xml:space="preserve"> tys. zł, z czego trzy postępowania dotyczą banków, a pozostałe są prowadzone wobec upadłych kas.</w:t>
      </w:r>
    </w:p>
    <w:p w:rsidR="007412DC" w:rsidRPr="005C2DA4" w:rsidRDefault="007412DC" w:rsidP="00765DBD">
      <w:pPr>
        <w:spacing w:after="60"/>
        <w:ind w:firstLine="0"/>
        <w:rPr>
          <w:rFonts w:cs="Calibri Light"/>
          <w:b/>
          <w:sz w:val="22"/>
          <w:szCs w:val="22"/>
        </w:rPr>
      </w:pPr>
      <w:r w:rsidRPr="005C2DA4">
        <w:rPr>
          <w:rFonts w:cs="Calibri Light"/>
          <w:b/>
          <w:sz w:val="22"/>
          <w:szCs w:val="22"/>
        </w:rPr>
        <w:t>Tabela 5. Struktura postępowań upadłościowych, w których Fundusz jest wierzycielem z tytułu wypłat środków gwarantowanych</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1665"/>
        <w:gridCol w:w="1642"/>
        <w:gridCol w:w="1918"/>
        <w:gridCol w:w="1753"/>
        <w:gridCol w:w="1265"/>
      </w:tblGrid>
      <w:tr w:rsidR="00BE133C" w:rsidRPr="00DF679D" w:rsidTr="00765DBD">
        <w:trPr>
          <w:trHeight w:val="706"/>
        </w:trPr>
        <w:tc>
          <w:tcPr>
            <w:tcW w:w="1088" w:type="dxa"/>
            <w:vMerge w:val="restart"/>
            <w:shd w:val="clear" w:color="auto" w:fill="2A5384"/>
            <w:vAlign w:val="center"/>
            <w:hideMark/>
          </w:tcPr>
          <w:p w:rsidR="00BE133C" w:rsidRPr="00765DBD" w:rsidRDefault="00BE133C" w:rsidP="00BE133C">
            <w:pPr>
              <w:spacing w:after="0"/>
              <w:ind w:firstLine="0"/>
              <w:rPr>
                <w:rFonts w:eastAsia="Times New Roman" w:cs="Calibri Light"/>
                <w:b/>
                <w:color w:val="FFFFFF" w:themeColor="background1"/>
                <w:sz w:val="18"/>
                <w:szCs w:val="18"/>
              </w:rPr>
            </w:pPr>
            <w:r w:rsidRPr="00765DBD">
              <w:rPr>
                <w:rFonts w:eastAsia="Times New Roman" w:cs="Calibri Light"/>
                <w:b/>
                <w:color w:val="FFFFFF" w:themeColor="background1"/>
                <w:sz w:val="18"/>
                <w:szCs w:val="18"/>
              </w:rPr>
              <w:t>Upadły</w:t>
            </w:r>
          </w:p>
        </w:tc>
        <w:tc>
          <w:tcPr>
            <w:tcW w:w="1665" w:type="dxa"/>
            <w:shd w:val="clear" w:color="auto" w:fill="2A5384"/>
            <w:vAlign w:val="center"/>
            <w:hideMark/>
          </w:tcPr>
          <w:p w:rsidR="00BE133C" w:rsidRPr="00765DBD" w:rsidRDefault="00BE133C" w:rsidP="00BE133C">
            <w:pPr>
              <w:spacing w:after="0"/>
              <w:ind w:firstLine="0"/>
              <w:jc w:val="center"/>
              <w:rPr>
                <w:rFonts w:eastAsia="Times New Roman" w:cs="Calibri Light"/>
                <w:b/>
                <w:color w:val="FFFFFF" w:themeColor="background1"/>
                <w:sz w:val="18"/>
                <w:szCs w:val="18"/>
              </w:rPr>
            </w:pPr>
            <w:r w:rsidRPr="00765DBD">
              <w:rPr>
                <w:rFonts w:eastAsia="Times New Roman" w:cs="Calibri Light"/>
                <w:b/>
                <w:color w:val="FFFFFF" w:themeColor="background1"/>
                <w:sz w:val="18"/>
                <w:szCs w:val="18"/>
              </w:rPr>
              <w:t xml:space="preserve">Wierzytelności BFG - uznane </w:t>
            </w:r>
          </w:p>
        </w:tc>
        <w:tc>
          <w:tcPr>
            <w:tcW w:w="1642" w:type="dxa"/>
            <w:shd w:val="clear" w:color="auto" w:fill="2A5384"/>
            <w:vAlign w:val="center"/>
            <w:hideMark/>
          </w:tcPr>
          <w:p w:rsidR="00BE133C" w:rsidRPr="00765DBD" w:rsidRDefault="00BE133C" w:rsidP="00BE133C">
            <w:pPr>
              <w:spacing w:after="0"/>
              <w:ind w:firstLine="0"/>
              <w:jc w:val="center"/>
              <w:rPr>
                <w:rFonts w:eastAsia="Times New Roman" w:cs="Calibri Light"/>
                <w:b/>
                <w:color w:val="FFFFFF" w:themeColor="background1"/>
                <w:sz w:val="18"/>
                <w:szCs w:val="18"/>
              </w:rPr>
            </w:pPr>
            <w:r w:rsidRPr="00765DBD">
              <w:rPr>
                <w:rFonts w:eastAsia="Times New Roman" w:cs="Calibri Light"/>
                <w:b/>
                <w:color w:val="FFFFFF" w:themeColor="background1"/>
                <w:sz w:val="18"/>
                <w:szCs w:val="18"/>
              </w:rPr>
              <w:t>Wierzytelności BFG - 30.09.2022 r.</w:t>
            </w:r>
          </w:p>
        </w:tc>
        <w:tc>
          <w:tcPr>
            <w:tcW w:w="1918" w:type="dxa"/>
            <w:shd w:val="clear" w:color="auto" w:fill="2A5384"/>
            <w:vAlign w:val="center"/>
            <w:hideMark/>
          </w:tcPr>
          <w:p w:rsidR="00BE133C" w:rsidRPr="00765DBD" w:rsidRDefault="00BE133C" w:rsidP="00BE133C">
            <w:pPr>
              <w:spacing w:after="0"/>
              <w:ind w:firstLine="0"/>
              <w:jc w:val="center"/>
              <w:rPr>
                <w:rFonts w:eastAsia="Times New Roman" w:cs="Calibri Light"/>
                <w:b/>
                <w:color w:val="FFFFFF" w:themeColor="background1"/>
                <w:sz w:val="18"/>
                <w:szCs w:val="18"/>
              </w:rPr>
            </w:pPr>
            <w:r w:rsidRPr="00765DBD">
              <w:rPr>
                <w:rFonts w:eastAsia="Times New Roman" w:cs="Calibri Light"/>
                <w:b/>
                <w:color w:val="FFFFFF" w:themeColor="background1"/>
                <w:sz w:val="18"/>
                <w:szCs w:val="18"/>
              </w:rPr>
              <w:t>Kwoty odzyskane przez Fundusz- 30.09.2022</w:t>
            </w:r>
          </w:p>
        </w:tc>
        <w:tc>
          <w:tcPr>
            <w:tcW w:w="1753" w:type="dxa"/>
            <w:shd w:val="clear" w:color="auto" w:fill="2A5384"/>
            <w:vAlign w:val="center"/>
            <w:hideMark/>
          </w:tcPr>
          <w:p w:rsidR="00BE133C" w:rsidRPr="00765DBD" w:rsidRDefault="00BE133C" w:rsidP="00BE133C">
            <w:pPr>
              <w:spacing w:after="0"/>
              <w:ind w:firstLine="0"/>
              <w:jc w:val="center"/>
              <w:rPr>
                <w:rFonts w:eastAsia="Times New Roman" w:cs="Calibri Light"/>
                <w:b/>
                <w:color w:val="FFFFFF" w:themeColor="background1"/>
                <w:sz w:val="18"/>
                <w:szCs w:val="18"/>
              </w:rPr>
            </w:pPr>
            <w:r w:rsidRPr="00765DBD">
              <w:rPr>
                <w:rFonts w:eastAsia="Times New Roman" w:cs="Calibri Light"/>
                <w:b/>
                <w:color w:val="FFFFFF" w:themeColor="background1"/>
                <w:sz w:val="18"/>
                <w:szCs w:val="18"/>
              </w:rPr>
              <w:t>Kwoty odzyskane przez Fundusz w III kw. 2022</w:t>
            </w:r>
          </w:p>
        </w:tc>
        <w:tc>
          <w:tcPr>
            <w:tcW w:w="1265" w:type="dxa"/>
            <w:vMerge w:val="restart"/>
            <w:shd w:val="clear" w:color="auto" w:fill="2A5384"/>
            <w:vAlign w:val="center"/>
            <w:hideMark/>
          </w:tcPr>
          <w:p w:rsidR="00BE133C" w:rsidRPr="00765DBD" w:rsidRDefault="00BE133C" w:rsidP="00BE133C">
            <w:pPr>
              <w:spacing w:after="0"/>
              <w:ind w:firstLine="0"/>
              <w:jc w:val="center"/>
              <w:rPr>
                <w:rFonts w:eastAsia="Times New Roman" w:cs="Calibri Light"/>
                <w:b/>
                <w:color w:val="FFFFFF" w:themeColor="background1"/>
                <w:sz w:val="18"/>
                <w:szCs w:val="18"/>
              </w:rPr>
            </w:pPr>
            <w:r w:rsidRPr="00765DBD">
              <w:rPr>
                <w:rFonts w:eastAsia="Times New Roman" w:cs="Calibri Light"/>
                <w:b/>
                <w:color w:val="FFFFFF" w:themeColor="background1"/>
                <w:sz w:val="18"/>
                <w:szCs w:val="18"/>
              </w:rPr>
              <w:t>Zaspokojenie Funduszu</w:t>
            </w:r>
          </w:p>
        </w:tc>
      </w:tr>
      <w:tr w:rsidR="00765DBD" w:rsidRPr="00DF679D" w:rsidTr="00765DBD">
        <w:trPr>
          <w:trHeight w:val="293"/>
        </w:trPr>
        <w:tc>
          <w:tcPr>
            <w:tcW w:w="1088" w:type="dxa"/>
            <w:vMerge/>
            <w:vAlign w:val="center"/>
            <w:hideMark/>
          </w:tcPr>
          <w:p w:rsidR="00765DBD" w:rsidRPr="00DF679D" w:rsidRDefault="00765DBD" w:rsidP="00BE133C">
            <w:pPr>
              <w:spacing w:after="0"/>
              <w:ind w:firstLine="0"/>
              <w:jc w:val="left"/>
              <w:rPr>
                <w:rFonts w:eastAsia="Times New Roman" w:cs="Calibri Light"/>
                <w:color w:val="000000"/>
                <w:sz w:val="18"/>
                <w:szCs w:val="18"/>
              </w:rPr>
            </w:pPr>
          </w:p>
        </w:tc>
        <w:tc>
          <w:tcPr>
            <w:tcW w:w="6978" w:type="dxa"/>
            <w:gridSpan w:val="4"/>
            <w:shd w:val="clear" w:color="auto" w:fill="DBE5F1"/>
            <w:vAlign w:val="center"/>
            <w:hideMark/>
          </w:tcPr>
          <w:p w:rsidR="00765DBD" w:rsidRPr="005373E3" w:rsidRDefault="00765DBD" w:rsidP="00765DBD">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(tys. zł)</w:t>
            </w:r>
          </w:p>
        </w:tc>
        <w:tc>
          <w:tcPr>
            <w:tcW w:w="1265" w:type="dxa"/>
            <w:vMerge/>
            <w:vAlign w:val="center"/>
            <w:hideMark/>
          </w:tcPr>
          <w:p w:rsidR="00765DBD" w:rsidRPr="00DF679D" w:rsidRDefault="00765DBD" w:rsidP="00BE133C">
            <w:pPr>
              <w:spacing w:after="0"/>
              <w:ind w:firstLine="0"/>
              <w:jc w:val="left"/>
              <w:rPr>
                <w:rFonts w:eastAsia="Times New Roman" w:cs="Calibri Light"/>
                <w:color w:val="000000"/>
                <w:sz w:val="18"/>
                <w:szCs w:val="18"/>
              </w:rPr>
            </w:pPr>
          </w:p>
        </w:tc>
      </w:tr>
      <w:tr w:rsidR="00BE133C" w:rsidRPr="00DF679D" w:rsidTr="005373E3">
        <w:trPr>
          <w:trHeight w:val="293"/>
        </w:trPr>
        <w:tc>
          <w:tcPr>
            <w:tcW w:w="1088" w:type="dxa"/>
            <w:shd w:val="clear" w:color="auto" w:fill="auto"/>
            <w:vAlign w:val="center"/>
            <w:hideMark/>
          </w:tcPr>
          <w:p w:rsidR="00BE133C" w:rsidRPr="005373E3" w:rsidRDefault="00BE133C" w:rsidP="00BE133C">
            <w:pPr>
              <w:spacing w:after="0"/>
              <w:ind w:firstLine="0"/>
              <w:jc w:val="left"/>
              <w:rPr>
                <w:rFonts w:eastAsia="Times New Roman" w:cs="Calibri Light"/>
                <w:iCs/>
                <w:color w:val="000000"/>
                <w:sz w:val="18"/>
                <w:szCs w:val="18"/>
              </w:rPr>
            </w:pPr>
            <w:r w:rsidRPr="005373E3">
              <w:rPr>
                <w:rFonts w:eastAsia="Times New Roman" w:cs="Calibri Light"/>
                <w:iCs/>
                <w:color w:val="000000"/>
                <w:sz w:val="18"/>
                <w:szCs w:val="18"/>
              </w:rPr>
              <w:t>Banki</w:t>
            </w:r>
          </w:p>
        </w:tc>
        <w:tc>
          <w:tcPr>
            <w:tcW w:w="1665" w:type="dxa"/>
            <w:shd w:val="clear" w:color="auto" w:fill="auto"/>
            <w:vAlign w:val="center"/>
            <w:hideMark/>
          </w:tcPr>
          <w:p w:rsidR="00BE133C" w:rsidRPr="005373E3" w:rsidRDefault="00BE133C" w:rsidP="005A6833">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2 203 160,2</w:t>
            </w:r>
            <w:r w:rsidR="005A6833">
              <w:rPr>
                <w:rFonts w:eastAsia="Times New Roman" w:cs="Calibri Light"/>
                <w:iCs/>
                <w:color w:val="000000"/>
                <w:sz w:val="18"/>
                <w:szCs w:val="18"/>
              </w:rPr>
              <w:t xml:space="preserve"> </w:t>
            </w:r>
          </w:p>
        </w:tc>
        <w:tc>
          <w:tcPr>
            <w:tcW w:w="1642" w:type="dxa"/>
            <w:shd w:val="clear" w:color="auto" w:fill="auto"/>
            <w:vAlign w:val="center"/>
            <w:hideMark/>
          </w:tcPr>
          <w:p w:rsidR="00BE133C" w:rsidRPr="005373E3" w:rsidRDefault="00BE133C" w:rsidP="005373E3">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 xml:space="preserve">2 126 120,5 </w:t>
            </w:r>
          </w:p>
        </w:tc>
        <w:tc>
          <w:tcPr>
            <w:tcW w:w="1918" w:type="dxa"/>
            <w:shd w:val="clear" w:color="auto" w:fill="auto"/>
            <w:noWrap/>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77 255,7</w:t>
            </w:r>
            <w:r w:rsidR="005A6833">
              <w:rPr>
                <w:rFonts w:eastAsia="Times New Roman" w:cs="Calibri Light"/>
                <w:iCs/>
                <w:color w:val="000000"/>
                <w:sz w:val="18"/>
                <w:szCs w:val="18"/>
              </w:rPr>
              <w:t xml:space="preserve">  </w:t>
            </w:r>
          </w:p>
        </w:tc>
        <w:tc>
          <w:tcPr>
            <w:tcW w:w="1753" w:type="dxa"/>
            <w:shd w:val="clear" w:color="auto" w:fill="auto"/>
            <w:noWrap/>
            <w:vAlign w:val="center"/>
          </w:tcPr>
          <w:p w:rsidR="00BE133C" w:rsidRPr="005373E3" w:rsidRDefault="005373E3" w:rsidP="005373E3">
            <w:pPr>
              <w:spacing w:after="0"/>
              <w:ind w:firstLine="0"/>
              <w:jc w:val="center"/>
              <w:rPr>
                <w:rFonts w:eastAsia="Times New Roman" w:cs="Calibri Light"/>
                <w:iCs/>
                <w:color w:val="000000"/>
                <w:sz w:val="18"/>
                <w:szCs w:val="18"/>
              </w:rPr>
            </w:pPr>
            <w:r>
              <w:rPr>
                <w:rFonts w:eastAsia="Times New Roman" w:cs="Calibri Light"/>
                <w:iCs/>
                <w:color w:val="000000"/>
                <w:sz w:val="18"/>
                <w:szCs w:val="18"/>
              </w:rPr>
              <w:t>-</w:t>
            </w:r>
          </w:p>
        </w:tc>
        <w:tc>
          <w:tcPr>
            <w:tcW w:w="126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3,5%</w:t>
            </w:r>
          </w:p>
        </w:tc>
      </w:tr>
      <w:tr w:rsidR="00BE133C" w:rsidRPr="00DF679D" w:rsidTr="005373E3">
        <w:trPr>
          <w:trHeight w:val="293"/>
        </w:trPr>
        <w:tc>
          <w:tcPr>
            <w:tcW w:w="1088" w:type="dxa"/>
            <w:shd w:val="clear" w:color="auto" w:fill="auto"/>
            <w:vAlign w:val="center"/>
            <w:hideMark/>
          </w:tcPr>
          <w:p w:rsidR="00BE133C" w:rsidRPr="005373E3" w:rsidRDefault="00BE133C" w:rsidP="00BE133C">
            <w:pPr>
              <w:spacing w:after="0"/>
              <w:ind w:firstLine="0"/>
              <w:jc w:val="left"/>
              <w:rPr>
                <w:rFonts w:eastAsia="Times New Roman" w:cs="Calibri Light"/>
                <w:iCs/>
                <w:color w:val="000000"/>
                <w:sz w:val="18"/>
                <w:szCs w:val="18"/>
              </w:rPr>
            </w:pPr>
            <w:r w:rsidRPr="005373E3">
              <w:rPr>
                <w:rFonts w:eastAsia="Times New Roman" w:cs="Calibri Light"/>
                <w:iCs/>
                <w:color w:val="000000"/>
                <w:sz w:val="18"/>
                <w:szCs w:val="18"/>
              </w:rPr>
              <w:t>SKOK-i</w:t>
            </w:r>
          </w:p>
        </w:tc>
        <w:tc>
          <w:tcPr>
            <w:tcW w:w="1665" w:type="dxa"/>
            <w:shd w:val="clear" w:color="auto" w:fill="auto"/>
            <w:vAlign w:val="center"/>
            <w:hideMark/>
          </w:tcPr>
          <w:p w:rsidR="00BE133C" w:rsidRPr="005373E3" w:rsidRDefault="00BE133C" w:rsidP="005A6833">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4 397 475,7</w:t>
            </w:r>
            <w:r w:rsidR="005A6833">
              <w:rPr>
                <w:rFonts w:eastAsia="Times New Roman" w:cs="Calibri Light"/>
                <w:iCs/>
                <w:color w:val="000000"/>
                <w:sz w:val="18"/>
                <w:szCs w:val="18"/>
              </w:rPr>
              <w:t xml:space="preserve"> </w:t>
            </w:r>
          </w:p>
        </w:tc>
        <w:tc>
          <w:tcPr>
            <w:tcW w:w="1642" w:type="dxa"/>
            <w:shd w:val="clear" w:color="auto" w:fill="auto"/>
            <w:vAlign w:val="center"/>
            <w:hideMark/>
          </w:tcPr>
          <w:p w:rsidR="00BE133C" w:rsidRPr="005373E3" w:rsidRDefault="005373E3" w:rsidP="005373E3">
            <w:pPr>
              <w:spacing w:after="0"/>
              <w:ind w:firstLine="0"/>
              <w:jc w:val="right"/>
              <w:rPr>
                <w:rFonts w:eastAsia="Times New Roman" w:cs="Calibri Light"/>
                <w:iCs/>
                <w:color w:val="000000"/>
                <w:sz w:val="18"/>
                <w:szCs w:val="18"/>
              </w:rPr>
            </w:pPr>
            <w:r>
              <w:rPr>
                <w:rFonts w:eastAsia="Times New Roman" w:cs="Calibri Light"/>
                <w:iCs/>
                <w:color w:val="000000"/>
                <w:sz w:val="18"/>
                <w:szCs w:val="18"/>
              </w:rPr>
              <w:t>3 308 876,6</w:t>
            </w:r>
          </w:p>
        </w:tc>
        <w:tc>
          <w:tcPr>
            <w:tcW w:w="1918" w:type="dxa"/>
            <w:shd w:val="clear" w:color="auto" w:fill="auto"/>
            <w:noWrap/>
            <w:vAlign w:val="center"/>
            <w:hideMark/>
          </w:tcPr>
          <w:p w:rsidR="00BE133C" w:rsidRPr="005373E3" w:rsidRDefault="00BE133C" w:rsidP="005A6833">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1 088 875,1</w:t>
            </w:r>
            <w:r w:rsidR="005A6833">
              <w:rPr>
                <w:rFonts w:eastAsia="Times New Roman" w:cs="Calibri Light"/>
                <w:iCs/>
                <w:color w:val="000000"/>
                <w:sz w:val="18"/>
                <w:szCs w:val="18"/>
              </w:rPr>
              <w:t xml:space="preserve"> </w:t>
            </w:r>
          </w:p>
        </w:tc>
        <w:tc>
          <w:tcPr>
            <w:tcW w:w="1753" w:type="dxa"/>
            <w:shd w:val="clear" w:color="auto" w:fill="auto"/>
            <w:noWrap/>
            <w:vAlign w:val="center"/>
          </w:tcPr>
          <w:p w:rsidR="00BE133C" w:rsidRPr="005373E3" w:rsidRDefault="005373E3" w:rsidP="005373E3">
            <w:pPr>
              <w:spacing w:after="0"/>
              <w:ind w:firstLine="0"/>
              <w:jc w:val="center"/>
              <w:rPr>
                <w:rFonts w:eastAsia="Times New Roman" w:cs="Calibri Light"/>
                <w:iCs/>
                <w:color w:val="000000"/>
                <w:sz w:val="18"/>
                <w:szCs w:val="18"/>
              </w:rPr>
            </w:pPr>
            <w:r>
              <w:rPr>
                <w:rFonts w:eastAsia="Times New Roman" w:cs="Calibri Light"/>
                <w:iCs/>
                <w:color w:val="000000"/>
                <w:sz w:val="18"/>
                <w:szCs w:val="18"/>
              </w:rPr>
              <w:t>-</w:t>
            </w:r>
          </w:p>
        </w:tc>
        <w:tc>
          <w:tcPr>
            <w:tcW w:w="126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24,8%</w:t>
            </w:r>
          </w:p>
        </w:tc>
      </w:tr>
      <w:tr w:rsidR="00BE133C" w:rsidRPr="00DF679D" w:rsidTr="005373E3">
        <w:trPr>
          <w:trHeight w:val="312"/>
        </w:trPr>
        <w:tc>
          <w:tcPr>
            <w:tcW w:w="1088" w:type="dxa"/>
            <w:shd w:val="clear" w:color="auto" w:fill="DBE5F1"/>
            <w:noWrap/>
            <w:vAlign w:val="center"/>
            <w:hideMark/>
          </w:tcPr>
          <w:p w:rsidR="00BE133C" w:rsidRPr="005373E3" w:rsidRDefault="00BE133C" w:rsidP="005373E3">
            <w:pPr>
              <w:spacing w:after="0"/>
              <w:ind w:firstLine="0"/>
              <w:jc w:val="left"/>
              <w:rPr>
                <w:rFonts w:eastAsia="Times New Roman" w:cs="Calibri Light"/>
                <w:b/>
                <w:bCs/>
                <w:iCs/>
                <w:color w:val="000000"/>
                <w:sz w:val="18"/>
                <w:szCs w:val="18"/>
              </w:rPr>
            </w:pPr>
            <w:r w:rsidRPr="005373E3">
              <w:rPr>
                <w:rFonts w:eastAsia="Times New Roman" w:cs="Calibri Light"/>
                <w:b/>
                <w:bCs/>
                <w:iCs/>
                <w:color w:val="000000"/>
                <w:sz w:val="18"/>
                <w:szCs w:val="18"/>
              </w:rPr>
              <w:t>Razem</w:t>
            </w:r>
          </w:p>
        </w:tc>
        <w:tc>
          <w:tcPr>
            <w:tcW w:w="1665" w:type="dxa"/>
            <w:shd w:val="clear" w:color="auto" w:fill="DBE5F1"/>
            <w:noWrap/>
            <w:vAlign w:val="center"/>
            <w:hideMark/>
          </w:tcPr>
          <w:p w:rsidR="00BE133C" w:rsidRPr="005373E3" w:rsidRDefault="00BE133C" w:rsidP="005373E3">
            <w:pPr>
              <w:spacing w:after="0"/>
              <w:ind w:firstLine="0"/>
              <w:jc w:val="right"/>
              <w:rPr>
                <w:rFonts w:eastAsia="Times New Roman" w:cs="Calibri Light"/>
                <w:b/>
                <w:bCs/>
                <w:color w:val="000000"/>
                <w:sz w:val="18"/>
                <w:szCs w:val="18"/>
              </w:rPr>
            </w:pPr>
            <w:r w:rsidRPr="005373E3">
              <w:rPr>
                <w:rFonts w:eastAsia="Times New Roman" w:cs="Calibri Light"/>
                <w:b/>
                <w:bCs/>
                <w:color w:val="000000"/>
                <w:sz w:val="18"/>
                <w:szCs w:val="18"/>
              </w:rPr>
              <w:t>6 600 635,9</w:t>
            </w:r>
          </w:p>
        </w:tc>
        <w:tc>
          <w:tcPr>
            <w:tcW w:w="1642" w:type="dxa"/>
            <w:shd w:val="clear" w:color="auto" w:fill="DBE5F1"/>
            <w:noWrap/>
            <w:vAlign w:val="center"/>
            <w:hideMark/>
          </w:tcPr>
          <w:p w:rsidR="00BE133C" w:rsidRPr="00DF679D" w:rsidRDefault="00BE133C" w:rsidP="005373E3">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 xml:space="preserve">5 434 997,1 </w:t>
            </w:r>
          </w:p>
        </w:tc>
        <w:tc>
          <w:tcPr>
            <w:tcW w:w="1918" w:type="dxa"/>
            <w:shd w:val="clear" w:color="auto" w:fill="DBE5F1"/>
            <w:noWrap/>
            <w:vAlign w:val="center"/>
            <w:hideMark/>
          </w:tcPr>
          <w:p w:rsidR="00BE133C" w:rsidRPr="00DF679D" w:rsidRDefault="00BE133C" w:rsidP="005373E3">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 xml:space="preserve">1 166 130,8 </w:t>
            </w:r>
          </w:p>
        </w:tc>
        <w:tc>
          <w:tcPr>
            <w:tcW w:w="1753" w:type="dxa"/>
            <w:shd w:val="clear" w:color="auto" w:fill="DBE5F1"/>
            <w:noWrap/>
            <w:vAlign w:val="center"/>
          </w:tcPr>
          <w:p w:rsidR="00BE133C" w:rsidRPr="00DF679D" w:rsidRDefault="005373E3" w:rsidP="005373E3">
            <w:pPr>
              <w:spacing w:after="0"/>
              <w:ind w:firstLine="0"/>
              <w:jc w:val="center"/>
              <w:rPr>
                <w:rFonts w:eastAsia="Times New Roman" w:cs="Calibri Light"/>
                <w:b/>
                <w:bCs/>
                <w:color w:val="000000"/>
                <w:sz w:val="18"/>
                <w:szCs w:val="18"/>
              </w:rPr>
            </w:pPr>
            <w:r>
              <w:rPr>
                <w:rFonts w:eastAsia="Times New Roman" w:cs="Calibri Light"/>
                <w:b/>
                <w:bCs/>
                <w:color w:val="000000"/>
                <w:sz w:val="18"/>
                <w:szCs w:val="18"/>
              </w:rPr>
              <w:t>-</w:t>
            </w:r>
          </w:p>
        </w:tc>
        <w:tc>
          <w:tcPr>
            <w:tcW w:w="1265" w:type="dxa"/>
            <w:shd w:val="clear" w:color="auto" w:fill="DBE5F1"/>
            <w:noWrap/>
            <w:vAlign w:val="center"/>
            <w:hideMark/>
          </w:tcPr>
          <w:p w:rsidR="00BE133C" w:rsidRPr="00DF679D" w:rsidRDefault="00BE133C" w:rsidP="00BE133C">
            <w:pPr>
              <w:spacing w:after="0"/>
              <w:ind w:firstLine="0"/>
              <w:jc w:val="center"/>
              <w:rPr>
                <w:rFonts w:eastAsia="Times New Roman" w:cs="Calibri Light"/>
                <w:b/>
                <w:bCs/>
                <w:color w:val="000000"/>
                <w:sz w:val="18"/>
                <w:szCs w:val="18"/>
              </w:rPr>
            </w:pPr>
            <w:r w:rsidRPr="00DF679D">
              <w:rPr>
                <w:rFonts w:eastAsia="Times New Roman" w:cs="Calibri Light"/>
                <w:b/>
                <w:bCs/>
                <w:color w:val="000000"/>
                <w:sz w:val="18"/>
                <w:szCs w:val="18"/>
              </w:rPr>
              <w:t>17,7%</w:t>
            </w:r>
          </w:p>
        </w:tc>
      </w:tr>
    </w:tbl>
    <w:p w:rsidR="007412DC" w:rsidRPr="00DF679D" w:rsidRDefault="007412DC" w:rsidP="007412DC">
      <w:pPr>
        <w:pStyle w:val="Teksttreci20"/>
        <w:shd w:val="clear" w:color="auto" w:fill="auto"/>
        <w:spacing w:before="120" w:after="120" w:line="240" w:lineRule="auto"/>
        <w:ind w:firstLine="284"/>
        <w:rPr>
          <w:rFonts w:cs="Calibri Light"/>
          <w:b/>
          <w:color w:val="FF0000"/>
        </w:rPr>
      </w:pPr>
      <w:r w:rsidRPr="00DF679D">
        <w:rPr>
          <w:rFonts w:cs="Calibri Light"/>
          <w:lang w:bidi="pl-PL"/>
        </w:rPr>
        <w:t>W II</w:t>
      </w:r>
      <w:r w:rsidR="000716ED" w:rsidRPr="00DF679D">
        <w:rPr>
          <w:rFonts w:cs="Calibri Light"/>
          <w:lang w:bidi="pl-PL"/>
        </w:rPr>
        <w:t>I</w:t>
      </w:r>
      <w:r w:rsidRPr="00DF679D">
        <w:rPr>
          <w:rFonts w:cs="Calibri Light"/>
          <w:lang w:bidi="pl-PL"/>
        </w:rPr>
        <w:t xml:space="preserve"> kwartale 2022 r. Fundusz monitorował przebieg postępowań upadłościowych analizując ich efektywność i dalsze perspektywy oraz na bieżąco współpracował z syndykami mas upadłościowych.</w:t>
      </w:r>
    </w:p>
    <w:p w:rsidR="007412DC" w:rsidRPr="005C2DA4" w:rsidRDefault="007412DC" w:rsidP="005373E3">
      <w:pPr>
        <w:spacing w:after="60"/>
        <w:ind w:firstLine="0"/>
        <w:rPr>
          <w:rFonts w:cs="Calibri Light"/>
          <w:b/>
          <w:sz w:val="22"/>
          <w:szCs w:val="22"/>
        </w:rPr>
      </w:pPr>
      <w:r w:rsidRPr="005C2DA4">
        <w:rPr>
          <w:rFonts w:cs="Calibri Light"/>
          <w:b/>
          <w:sz w:val="22"/>
          <w:szCs w:val="22"/>
        </w:rPr>
        <w:t xml:space="preserve">Tabela 6. Zestawienie postępowań upadłościowych wobec banków, w których Fundusz jest wierzycielem z tytułu wypłat środków gwarantowanych </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042"/>
        <w:gridCol w:w="1300"/>
        <w:gridCol w:w="1300"/>
        <w:gridCol w:w="1560"/>
        <w:gridCol w:w="1433"/>
        <w:gridCol w:w="1169"/>
      </w:tblGrid>
      <w:tr w:rsidR="00BE133C" w:rsidRPr="00DF679D" w:rsidTr="005373E3">
        <w:trPr>
          <w:trHeight w:val="530"/>
        </w:trPr>
        <w:tc>
          <w:tcPr>
            <w:tcW w:w="1555" w:type="dxa"/>
            <w:vMerge w:val="restart"/>
            <w:shd w:val="clear" w:color="auto" w:fill="2A5384"/>
            <w:vAlign w:val="center"/>
            <w:hideMark/>
          </w:tcPr>
          <w:p w:rsidR="00BE133C" w:rsidRPr="005373E3" w:rsidRDefault="00BE133C" w:rsidP="00036F42">
            <w:pPr>
              <w:spacing w:after="0"/>
              <w:ind w:firstLine="0"/>
              <w:jc w:val="center"/>
              <w:rPr>
                <w:rFonts w:eastAsia="Times New Roman" w:cs="Calibri Light"/>
                <w:b/>
                <w:color w:val="FFFFFF" w:themeColor="background1"/>
                <w:sz w:val="18"/>
                <w:szCs w:val="18"/>
              </w:rPr>
            </w:pPr>
            <w:r w:rsidRPr="005373E3">
              <w:rPr>
                <w:rFonts w:eastAsia="Times New Roman" w:cs="Calibri Light"/>
                <w:b/>
                <w:color w:val="FFFFFF" w:themeColor="background1"/>
                <w:sz w:val="18"/>
                <w:szCs w:val="18"/>
              </w:rPr>
              <w:t>Upadły</w:t>
            </w:r>
          </w:p>
        </w:tc>
        <w:tc>
          <w:tcPr>
            <w:tcW w:w="1042" w:type="dxa"/>
            <w:vMerge w:val="restart"/>
            <w:shd w:val="clear" w:color="auto" w:fill="2A5384"/>
            <w:vAlign w:val="center"/>
            <w:hideMark/>
          </w:tcPr>
          <w:p w:rsidR="00BE133C" w:rsidRPr="005373E3" w:rsidRDefault="00BE133C" w:rsidP="00BE133C">
            <w:pPr>
              <w:spacing w:after="0"/>
              <w:ind w:firstLine="0"/>
              <w:jc w:val="center"/>
              <w:rPr>
                <w:rFonts w:eastAsia="Times New Roman" w:cs="Calibri Light"/>
                <w:b/>
                <w:color w:val="FFFFFF" w:themeColor="background1"/>
                <w:sz w:val="18"/>
                <w:szCs w:val="18"/>
              </w:rPr>
            </w:pPr>
            <w:r w:rsidRPr="005373E3">
              <w:rPr>
                <w:rFonts w:eastAsia="Times New Roman" w:cs="Calibri Light"/>
                <w:b/>
                <w:color w:val="FFFFFF" w:themeColor="background1"/>
                <w:sz w:val="18"/>
                <w:szCs w:val="18"/>
              </w:rPr>
              <w:t>Data ogłoszenia upadłości</w:t>
            </w:r>
          </w:p>
        </w:tc>
        <w:tc>
          <w:tcPr>
            <w:tcW w:w="1300" w:type="dxa"/>
            <w:shd w:val="clear" w:color="auto" w:fill="2A5384"/>
            <w:vAlign w:val="center"/>
            <w:hideMark/>
          </w:tcPr>
          <w:p w:rsidR="00BE133C" w:rsidRPr="005373E3" w:rsidRDefault="00BE133C" w:rsidP="00BE133C">
            <w:pPr>
              <w:spacing w:after="0"/>
              <w:ind w:firstLine="0"/>
              <w:jc w:val="center"/>
              <w:rPr>
                <w:rFonts w:eastAsia="Times New Roman" w:cs="Calibri Light"/>
                <w:b/>
                <w:color w:val="FFFFFF" w:themeColor="background1"/>
                <w:sz w:val="18"/>
                <w:szCs w:val="18"/>
              </w:rPr>
            </w:pPr>
            <w:r w:rsidRPr="005373E3">
              <w:rPr>
                <w:rFonts w:eastAsia="Times New Roman" w:cs="Calibri Light"/>
                <w:b/>
                <w:color w:val="FFFFFF" w:themeColor="background1"/>
                <w:sz w:val="18"/>
                <w:szCs w:val="18"/>
              </w:rPr>
              <w:t xml:space="preserve">Wierzytelność BFG - zgłoszona </w:t>
            </w:r>
          </w:p>
        </w:tc>
        <w:tc>
          <w:tcPr>
            <w:tcW w:w="1300" w:type="dxa"/>
            <w:shd w:val="clear" w:color="auto" w:fill="2A5384"/>
            <w:vAlign w:val="center"/>
            <w:hideMark/>
          </w:tcPr>
          <w:p w:rsidR="00BE133C" w:rsidRPr="005373E3" w:rsidRDefault="00BE133C" w:rsidP="00BE133C">
            <w:pPr>
              <w:spacing w:after="0"/>
              <w:ind w:firstLine="0"/>
              <w:jc w:val="center"/>
              <w:rPr>
                <w:rFonts w:eastAsia="Times New Roman" w:cs="Calibri Light"/>
                <w:b/>
                <w:color w:val="FFFFFF" w:themeColor="background1"/>
                <w:sz w:val="18"/>
                <w:szCs w:val="18"/>
              </w:rPr>
            </w:pPr>
            <w:r w:rsidRPr="005373E3">
              <w:rPr>
                <w:rFonts w:eastAsia="Times New Roman" w:cs="Calibri Light"/>
                <w:b/>
                <w:color w:val="FFFFFF" w:themeColor="background1"/>
                <w:sz w:val="18"/>
                <w:szCs w:val="18"/>
              </w:rPr>
              <w:t xml:space="preserve">Wierzytelność BFG - uznana </w:t>
            </w:r>
          </w:p>
        </w:tc>
        <w:tc>
          <w:tcPr>
            <w:tcW w:w="1560" w:type="dxa"/>
            <w:shd w:val="clear" w:color="auto" w:fill="2A5384"/>
            <w:vAlign w:val="center"/>
            <w:hideMark/>
          </w:tcPr>
          <w:p w:rsidR="00BE133C" w:rsidRPr="005373E3" w:rsidRDefault="00BE133C" w:rsidP="00BE133C">
            <w:pPr>
              <w:spacing w:after="0"/>
              <w:ind w:firstLine="0"/>
              <w:jc w:val="center"/>
              <w:rPr>
                <w:rFonts w:eastAsia="Times New Roman" w:cs="Calibri Light"/>
                <w:b/>
                <w:color w:val="FFFFFF" w:themeColor="background1"/>
                <w:sz w:val="18"/>
                <w:szCs w:val="18"/>
              </w:rPr>
            </w:pPr>
            <w:r w:rsidRPr="005373E3">
              <w:rPr>
                <w:rFonts w:eastAsia="Times New Roman" w:cs="Calibri Light"/>
                <w:b/>
                <w:color w:val="FFFFFF" w:themeColor="background1"/>
                <w:sz w:val="18"/>
                <w:szCs w:val="18"/>
              </w:rPr>
              <w:t>Wierzytelności BFG - 30.09.2022 r.</w:t>
            </w:r>
          </w:p>
        </w:tc>
        <w:tc>
          <w:tcPr>
            <w:tcW w:w="1433" w:type="dxa"/>
            <w:shd w:val="clear" w:color="auto" w:fill="2A5384"/>
            <w:vAlign w:val="center"/>
            <w:hideMark/>
          </w:tcPr>
          <w:p w:rsidR="00BE133C" w:rsidRPr="005373E3" w:rsidRDefault="00BE133C" w:rsidP="00BE133C">
            <w:pPr>
              <w:spacing w:after="0"/>
              <w:ind w:firstLine="0"/>
              <w:jc w:val="center"/>
              <w:rPr>
                <w:rFonts w:eastAsia="Times New Roman" w:cs="Calibri Light"/>
                <w:b/>
                <w:color w:val="FFFFFF" w:themeColor="background1"/>
                <w:sz w:val="18"/>
                <w:szCs w:val="18"/>
              </w:rPr>
            </w:pPr>
            <w:r w:rsidRPr="005373E3">
              <w:rPr>
                <w:rFonts w:eastAsia="Times New Roman" w:cs="Calibri Light"/>
                <w:b/>
                <w:color w:val="FFFFFF" w:themeColor="background1"/>
                <w:sz w:val="18"/>
                <w:szCs w:val="18"/>
              </w:rPr>
              <w:t>Kwota odzyskana przez Fundusz</w:t>
            </w:r>
          </w:p>
        </w:tc>
        <w:tc>
          <w:tcPr>
            <w:tcW w:w="1169" w:type="dxa"/>
            <w:vMerge w:val="restart"/>
            <w:shd w:val="clear" w:color="auto" w:fill="2A5384"/>
            <w:vAlign w:val="center"/>
            <w:hideMark/>
          </w:tcPr>
          <w:p w:rsidR="00BE133C" w:rsidRPr="005373E3" w:rsidRDefault="00BE133C" w:rsidP="00BE133C">
            <w:pPr>
              <w:spacing w:after="0"/>
              <w:ind w:firstLine="0"/>
              <w:jc w:val="center"/>
              <w:rPr>
                <w:rFonts w:eastAsia="Times New Roman" w:cs="Calibri Light"/>
                <w:b/>
                <w:color w:val="FFFFFF" w:themeColor="background1"/>
                <w:sz w:val="18"/>
                <w:szCs w:val="18"/>
              </w:rPr>
            </w:pPr>
            <w:r w:rsidRPr="005373E3">
              <w:rPr>
                <w:rFonts w:eastAsia="Times New Roman" w:cs="Calibri Light"/>
                <w:b/>
                <w:color w:val="FFFFFF" w:themeColor="background1"/>
                <w:sz w:val="18"/>
                <w:szCs w:val="18"/>
              </w:rPr>
              <w:t>Zaspokojenie Funduszu</w:t>
            </w:r>
          </w:p>
        </w:tc>
      </w:tr>
      <w:tr w:rsidR="00BE133C" w:rsidRPr="00DF679D" w:rsidTr="005373E3">
        <w:trPr>
          <w:trHeight w:val="312"/>
        </w:trPr>
        <w:tc>
          <w:tcPr>
            <w:tcW w:w="1555" w:type="dxa"/>
            <w:vMerge/>
            <w:shd w:val="clear" w:color="auto" w:fill="2A5384"/>
            <w:vAlign w:val="center"/>
            <w:hideMark/>
          </w:tcPr>
          <w:p w:rsidR="00BE133C" w:rsidRPr="00DF679D" w:rsidRDefault="00BE133C" w:rsidP="00BE133C">
            <w:pPr>
              <w:spacing w:after="0"/>
              <w:ind w:firstLine="0"/>
              <w:jc w:val="left"/>
              <w:rPr>
                <w:rFonts w:eastAsia="Times New Roman" w:cs="Calibri Light"/>
                <w:color w:val="000000"/>
                <w:sz w:val="18"/>
                <w:szCs w:val="18"/>
              </w:rPr>
            </w:pPr>
          </w:p>
        </w:tc>
        <w:tc>
          <w:tcPr>
            <w:tcW w:w="1042" w:type="dxa"/>
            <w:vMerge/>
            <w:vAlign w:val="center"/>
            <w:hideMark/>
          </w:tcPr>
          <w:p w:rsidR="00BE133C" w:rsidRPr="00DF679D" w:rsidRDefault="00BE133C" w:rsidP="00BE133C">
            <w:pPr>
              <w:spacing w:after="0"/>
              <w:ind w:firstLine="0"/>
              <w:jc w:val="left"/>
              <w:rPr>
                <w:rFonts w:eastAsia="Times New Roman" w:cs="Calibri Light"/>
                <w:color w:val="000000"/>
                <w:sz w:val="18"/>
                <w:szCs w:val="18"/>
              </w:rPr>
            </w:pPr>
          </w:p>
        </w:tc>
        <w:tc>
          <w:tcPr>
            <w:tcW w:w="5593" w:type="dxa"/>
            <w:gridSpan w:val="4"/>
            <w:shd w:val="clear" w:color="auto" w:fill="DBE5F1"/>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(tys. zł)</w:t>
            </w:r>
          </w:p>
        </w:tc>
        <w:tc>
          <w:tcPr>
            <w:tcW w:w="1169" w:type="dxa"/>
            <w:vMerge/>
            <w:vAlign w:val="center"/>
            <w:hideMark/>
          </w:tcPr>
          <w:p w:rsidR="00BE133C" w:rsidRPr="00DF679D" w:rsidRDefault="00BE133C" w:rsidP="00BE133C">
            <w:pPr>
              <w:spacing w:after="0"/>
              <w:ind w:firstLine="0"/>
              <w:jc w:val="left"/>
              <w:rPr>
                <w:rFonts w:eastAsia="Times New Roman" w:cs="Calibri Light"/>
                <w:color w:val="000000"/>
                <w:sz w:val="18"/>
                <w:szCs w:val="18"/>
              </w:rPr>
            </w:pPr>
          </w:p>
        </w:tc>
      </w:tr>
      <w:tr w:rsidR="00BE133C" w:rsidRPr="00DF679D" w:rsidTr="005373E3">
        <w:trPr>
          <w:trHeight w:val="395"/>
        </w:trPr>
        <w:tc>
          <w:tcPr>
            <w:tcW w:w="1555" w:type="dxa"/>
            <w:shd w:val="clear" w:color="auto" w:fill="auto"/>
            <w:vAlign w:val="center"/>
            <w:hideMark/>
          </w:tcPr>
          <w:p w:rsidR="00BE133C" w:rsidRPr="005373E3" w:rsidRDefault="00BE133C" w:rsidP="00BE133C">
            <w:pPr>
              <w:spacing w:after="0"/>
              <w:ind w:firstLine="0"/>
              <w:jc w:val="left"/>
              <w:rPr>
                <w:rFonts w:eastAsia="Times New Roman" w:cs="Calibri Light"/>
                <w:iCs/>
                <w:color w:val="000000"/>
                <w:sz w:val="18"/>
                <w:szCs w:val="18"/>
              </w:rPr>
            </w:pPr>
            <w:r w:rsidRPr="005373E3">
              <w:rPr>
                <w:rFonts w:eastAsia="Times New Roman" w:cs="Calibri Light"/>
                <w:iCs/>
                <w:color w:val="000000"/>
                <w:sz w:val="18"/>
                <w:szCs w:val="18"/>
              </w:rPr>
              <w:t>SBRiR w Wołominie</w:t>
            </w:r>
          </w:p>
        </w:tc>
        <w:tc>
          <w:tcPr>
            <w:tcW w:w="1042" w:type="dxa"/>
            <w:shd w:val="clear" w:color="auto" w:fill="auto"/>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30.12.2015</w:t>
            </w:r>
          </w:p>
        </w:tc>
        <w:tc>
          <w:tcPr>
            <w:tcW w:w="1300" w:type="dxa"/>
            <w:shd w:val="clear" w:color="auto" w:fill="auto"/>
            <w:vAlign w:val="center"/>
            <w:hideMark/>
          </w:tcPr>
          <w:p w:rsidR="00BE133C" w:rsidRPr="005373E3" w:rsidRDefault="00023E75" w:rsidP="00023E75">
            <w:pPr>
              <w:spacing w:after="0"/>
              <w:ind w:firstLine="0"/>
              <w:jc w:val="right"/>
              <w:rPr>
                <w:rFonts w:eastAsia="Times New Roman" w:cs="Calibri Light"/>
                <w:iCs/>
                <w:color w:val="000000"/>
                <w:sz w:val="18"/>
                <w:szCs w:val="18"/>
              </w:rPr>
            </w:pPr>
            <w:r>
              <w:rPr>
                <w:rFonts w:eastAsia="Times New Roman" w:cs="Calibri Light"/>
                <w:iCs/>
                <w:color w:val="000000"/>
                <w:sz w:val="18"/>
                <w:szCs w:val="18"/>
              </w:rPr>
              <w:t xml:space="preserve"> </w:t>
            </w:r>
            <w:r w:rsidR="00BE133C" w:rsidRPr="005373E3">
              <w:rPr>
                <w:rFonts w:eastAsia="Times New Roman" w:cs="Calibri Light"/>
                <w:iCs/>
                <w:color w:val="000000"/>
                <w:sz w:val="18"/>
                <w:szCs w:val="18"/>
              </w:rPr>
              <w:t>2 033 885,4</w:t>
            </w:r>
            <w:r w:rsidR="005A6833">
              <w:rPr>
                <w:rFonts w:eastAsia="Times New Roman" w:cs="Calibri Light"/>
                <w:iCs/>
                <w:color w:val="000000"/>
                <w:sz w:val="18"/>
                <w:szCs w:val="18"/>
              </w:rPr>
              <w:t xml:space="preserve"> </w:t>
            </w:r>
          </w:p>
        </w:tc>
        <w:tc>
          <w:tcPr>
            <w:tcW w:w="1300" w:type="dxa"/>
            <w:shd w:val="clear" w:color="auto" w:fill="auto"/>
            <w:vAlign w:val="center"/>
            <w:hideMark/>
          </w:tcPr>
          <w:p w:rsidR="00BE133C" w:rsidRPr="005373E3" w:rsidRDefault="00023E75" w:rsidP="00023E75">
            <w:pPr>
              <w:spacing w:after="0"/>
              <w:ind w:firstLine="0"/>
              <w:jc w:val="right"/>
              <w:rPr>
                <w:rFonts w:eastAsia="Times New Roman" w:cs="Calibri Light"/>
                <w:iCs/>
                <w:color w:val="000000"/>
                <w:sz w:val="18"/>
                <w:szCs w:val="18"/>
              </w:rPr>
            </w:pPr>
            <w:r>
              <w:rPr>
                <w:rFonts w:eastAsia="Times New Roman" w:cs="Calibri Light"/>
                <w:iCs/>
                <w:color w:val="000000"/>
                <w:sz w:val="18"/>
                <w:szCs w:val="18"/>
              </w:rPr>
              <w:t xml:space="preserve"> </w:t>
            </w:r>
            <w:r w:rsidR="00BE133C" w:rsidRPr="005373E3">
              <w:rPr>
                <w:rFonts w:eastAsia="Times New Roman" w:cs="Calibri Light"/>
                <w:iCs/>
                <w:color w:val="000000"/>
                <w:sz w:val="18"/>
                <w:szCs w:val="18"/>
              </w:rPr>
              <w:t>2 033 885,4</w:t>
            </w:r>
            <w:r w:rsidR="005A6833">
              <w:rPr>
                <w:rFonts w:eastAsia="Times New Roman" w:cs="Calibri Light"/>
                <w:iCs/>
                <w:color w:val="000000"/>
                <w:sz w:val="18"/>
                <w:szCs w:val="18"/>
              </w:rPr>
              <w:t xml:space="preserve"> </w:t>
            </w:r>
            <w:r w:rsidR="00BE133C" w:rsidRPr="005373E3">
              <w:rPr>
                <w:rFonts w:eastAsia="Times New Roman" w:cs="Calibri Light"/>
                <w:iCs/>
                <w:color w:val="000000"/>
                <w:sz w:val="18"/>
                <w:szCs w:val="18"/>
              </w:rPr>
              <w:t xml:space="preserve"> </w:t>
            </w:r>
          </w:p>
        </w:tc>
        <w:tc>
          <w:tcPr>
            <w:tcW w:w="1560"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1 980 891,8</w:t>
            </w:r>
            <w:r w:rsidR="005A6833">
              <w:rPr>
                <w:rFonts w:eastAsia="Times New Roman" w:cs="Calibri Light"/>
                <w:iCs/>
                <w:color w:val="000000"/>
                <w:sz w:val="18"/>
                <w:szCs w:val="18"/>
              </w:rPr>
              <w:t xml:space="preserve">  </w:t>
            </w:r>
          </w:p>
        </w:tc>
        <w:tc>
          <w:tcPr>
            <w:tcW w:w="1433" w:type="dxa"/>
            <w:shd w:val="clear" w:color="auto" w:fill="auto"/>
            <w:noWrap/>
            <w:vAlign w:val="center"/>
            <w:hideMark/>
          </w:tcPr>
          <w:p w:rsidR="00BE133C" w:rsidRPr="005373E3" w:rsidRDefault="00023E75" w:rsidP="00023E75">
            <w:pPr>
              <w:spacing w:after="0"/>
              <w:ind w:firstLine="0"/>
              <w:jc w:val="right"/>
              <w:rPr>
                <w:rFonts w:eastAsia="Times New Roman" w:cs="Calibri Light"/>
                <w:iCs/>
                <w:color w:val="000000"/>
                <w:sz w:val="18"/>
                <w:szCs w:val="18"/>
              </w:rPr>
            </w:pPr>
            <w:r>
              <w:rPr>
                <w:rFonts w:eastAsia="Times New Roman" w:cs="Calibri Light"/>
                <w:iCs/>
                <w:color w:val="000000"/>
                <w:sz w:val="18"/>
                <w:szCs w:val="18"/>
              </w:rPr>
              <w:t>52 993,6</w:t>
            </w:r>
            <w:r w:rsidR="005A6833">
              <w:rPr>
                <w:rFonts w:eastAsia="Times New Roman" w:cs="Calibri Light"/>
                <w:iCs/>
                <w:color w:val="000000"/>
                <w:sz w:val="18"/>
                <w:szCs w:val="18"/>
              </w:rPr>
              <w:t xml:space="preserve"> </w:t>
            </w:r>
          </w:p>
        </w:tc>
        <w:tc>
          <w:tcPr>
            <w:tcW w:w="1169"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2,6%</w:t>
            </w:r>
          </w:p>
        </w:tc>
      </w:tr>
      <w:tr w:rsidR="00BE133C" w:rsidRPr="00DF679D" w:rsidTr="005373E3">
        <w:trPr>
          <w:trHeight w:val="273"/>
        </w:trPr>
        <w:tc>
          <w:tcPr>
            <w:tcW w:w="1555" w:type="dxa"/>
            <w:shd w:val="clear" w:color="auto" w:fill="auto"/>
            <w:vAlign w:val="center"/>
            <w:hideMark/>
          </w:tcPr>
          <w:p w:rsidR="00BE133C" w:rsidRPr="005373E3" w:rsidRDefault="00BE133C" w:rsidP="00BE133C">
            <w:pPr>
              <w:spacing w:after="0"/>
              <w:ind w:firstLine="0"/>
              <w:jc w:val="left"/>
              <w:rPr>
                <w:rFonts w:eastAsia="Times New Roman" w:cs="Calibri Light"/>
                <w:iCs/>
                <w:color w:val="000000"/>
                <w:sz w:val="18"/>
                <w:szCs w:val="18"/>
              </w:rPr>
            </w:pPr>
            <w:r w:rsidRPr="005373E3">
              <w:rPr>
                <w:rFonts w:eastAsia="Times New Roman" w:cs="Calibri Light"/>
                <w:iCs/>
                <w:color w:val="000000"/>
                <w:sz w:val="18"/>
                <w:szCs w:val="18"/>
              </w:rPr>
              <w:t>BS w Nadarzynie</w:t>
            </w:r>
          </w:p>
        </w:tc>
        <w:tc>
          <w:tcPr>
            <w:tcW w:w="1042" w:type="dxa"/>
            <w:shd w:val="clear" w:color="auto" w:fill="auto"/>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19.12.2016</w:t>
            </w:r>
          </w:p>
        </w:tc>
        <w:tc>
          <w:tcPr>
            <w:tcW w:w="1300" w:type="dxa"/>
            <w:shd w:val="clear" w:color="auto" w:fill="auto"/>
            <w:vAlign w:val="center"/>
            <w:hideMark/>
          </w:tcPr>
          <w:p w:rsidR="00BE133C" w:rsidRPr="005373E3" w:rsidRDefault="00023E75" w:rsidP="00023E75">
            <w:pPr>
              <w:spacing w:after="0"/>
              <w:ind w:firstLine="0"/>
              <w:jc w:val="right"/>
              <w:rPr>
                <w:rFonts w:eastAsia="Times New Roman" w:cs="Calibri Light"/>
                <w:iCs/>
                <w:color w:val="000000"/>
                <w:sz w:val="18"/>
                <w:szCs w:val="18"/>
              </w:rPr>
            </w:pPr>
            <w:r>
              <w:rPr>
                <w:rFonts w:eastAsia="Times New Roman" w:cs="Calibri Light"/>
                <w:iCs/>
                <w:color w:val="000000"/>
                <w:sz w:val="18"/>
                <w:szCs w:val="18"/>
              </w:rPr>
              <w:t xml:space="preserve"> </w:t>
            </w:r>
            <w:r w:rsidR="00BE133C" w:rsidRPr="005373E3">
              <w:rPr>
                <w:rFonts w:eastAsia="Times New Roman" w:cs="Calibri Light"/>
                <w:iCs/>
                <w:color w:val="000000"/>
                <w:sz w:val="18"/>
                <w:szCs w:val="18"/>
              </w:rPr>
              <w:t>146 289,4</w:t>
            </w:r>
            <w:r w:rsidR="005A6833">
              <w:rPr>
                <w:rFonts w:eastAsia="Times New Roman" w:cs="Calibri Light"/>
                <w:iCs/>
                <w:color w:val="000000"/>
                <w:sz w:val="18"/>
                <w:szCs w:val="18"/>
              </w:rPr>
              <w:t xml:space="preserve"> </w:t>
            </w:r>
          </w:p>
        </w:tc>
        <w:tc>
          <w:tcPr>
            <w:tcW w:w="1300" w:type="dxa"/>
            <w:shd w:val="clear" w:color="auto" w:fill="auto"/>
            <w:vAlign w:val="center"/>
            <w:hideMark/>
          </w:tcPr>
          <w:p w:rsidR="00BE133C" w:rsidRPr="005373E3" w:rsidRDefault="00023E75" w:rsidP="00023E75">
            <w:pPr>
              <w:spacing w:after="0"/>
              <w:ind w:firstLine="0"/>
              <w:jc w:val="right"/>
              <w:rPr>
                <w:rFonts w:eastAsia="Times New Roman" w:cs="Calibri Light"/>
                <w:iCs/>
                <w:color w:val="000000"/>
                <w:sz w:val="18"/>
                <w:szCs w:val="18"/>
              </w:rPr>
            </w:pPr>
            <w:r>
              <w:rPr>
                <w:rFonts w:eastAsia="Times New Roman" w:cs="Calibri Light"/>
                <w:iCs/>
                <w:color w:val="000000"/>
                <w:sz w:val="18"/>
                <w:szCs w:val="18"/>
              </w:rPr>
              <w:t xml:space="preserve"> </w:t>
            </w:r>
            <w:r w:rsidR="00BE133C" w:rsidRPr="005373E3">
              <w:rPr>
                <w:rFonts w:eastAsia="Times New Roman" w:cs="Calibri Light"/>
                <w:iCs/>
                <w:color w:val="000000"/>
                <w:sz w:val="18"/>
                <w:szCs w:val="18"/>
              </w:rPr>
              <w:t>146 291,3</w:t>
            </w:r>
            <w:r w:rsidR="005A6833">
              <w:rPr>
                <w:rFonts w:eastAsia="Times New Roman" w:cs="Calibri Light"/>
                <w:iCs/>
                <w:color w:val="000000"/>
                <w:sz w:val="18"/>
                <w:szCs w:val="18"/>
              </w:rPr>
              <w:t xml:space="preserve"> </w:t>
            </w:r>
            <w:r w:rsidR="00BE133C" w:rsidRPr="005373E3">
              <w:rPr>
                <w:rFonts w:eastAsia="Times New Roman" w:cs="Calibri Light"/>
                <w:iCs/>
                <w:color w:val="000000"/>
                <w:sz w:val="18"/>
                <w:szCs w:val="18"/>
              </w:rPr>
              <w:t xml:space="preserve"> </w:t>
            </w:r>
          </w:p>
        </w:tc>
        <w:tc>
          <w:tcPr>
            <w:tcW w:w="1560" w:type="dxa"/>
            <w:shd w:val="clear" w:color="auto" w:fill="auto"/>
            <w:vAlign w:val="center"/>
            <w:hideMark/>
          </w:tcPr>
          <w:p w:rsidR="00BE133C" w:rsidRPr="005373E3" w:rsidRDefault="00BE133C" w:rsidP="00023E75">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122 029,2</w:t>
            </w:r>
            <w:r w:rsidR="005A6833">
              <w:rPr>
                <w:rFonts w:eastAsia="Times New Roman" w:cs="Calibri Light"/>
                <w:iCs/>
                <w:color w:val="000000"/>
                <w:sz w:val="18"/>
                <w:szCs w:val="18"/>
              </w:rPr>
              <w:t xml:space="preserve">  </w:t>
            </w:r>
          </w:p>
        </w:tc>
        <w:tc>
          <w:tcPr>
            <w:tcW w:w="1433" w:type="dxa"/>
            <w:shd w:val="clear" w:color="auto" w:fill="auto"/>
            <w:noWrap/>
            <w:vAlign w:val="center"/>
            <w:hideMark/>
          </w:tcPr>
          <w:p w:rsidR="00BE133C" w:rsidRPr="005373E3" w:rsidRDefault="00BE133C" w:rsidP="00023E75">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24 262,1</w:t>
            </w:r>
            <w:r w:rsidR="005A6833">
              <w:rPr>
                <w:rFonts w:eastAsia="Times New Roman" w:cs="Calibri Light"/>
                <w:iCs/>
                <w:color w:val="000000"/>
                <w:sz w:val="18"/>
                <w:szCs w:val="18"/>
              </w:rPr>
              <w:t xml:space="preserve"> </w:t>
            </w:r>
            <w:r w:rsidRPr="005373E3">
              <w:rPr>
                <w:rFonts w:eastAsia="Times New Roman" w:cs="Calibri Light"/>
                <w:iCs/>
                <w:color w:val="000000"/>
                <w:sz w:val="18"/>
                <w:szCs w:val="18"/>
              </w:rPr>
              <w:t xml:space="preserve"> </w:t>
            </w:r>
          </w:p>
        </w:tc>
        <w:tc>
          <w:tcPr>
            <w:tcW w:w="1169"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16,6%</w:t>
            </w:r>
          </w:p>
        </w:tc>
      </w:tr>
      <w:tr w:rsidR="00BE133C" w:rsidRPr="00DF679D" w:rsidTr="005373E3">
        <w:trPr>
          <w:trHeight w:val="277"/>
        </w:trPr>
        <w:tc>
          <w:tcPr>
            <w:tcW w:w="1555" w:type="dxa"/>
            <w:shd w:val="clear" w:color="000000" w:fill="FFFFFF"/>
            <w:vAlign w:val="center"/>
            <w:hideMark/>
          </w:tcPr>
          <w:p w:rsidR="00BE133C" w:rsidRPr="005373E3" w:rsidRDefault="00BE133C" w:rsidP="005A6833">
            <w:pPr>
              <w:spacing w:after="0"/>
              <w:ind w:firstLine="0"/>
              <w:rPr>
                <w:rFonts w:eastAsia="Times New Roman" w:cs="Calibri Light"/>
                <w:iCs/>
                <w:color w:val="000000"/>
                <w:sz w:val="18"/>
                <w:szCs w:val="18"/>
              </w:rPr>
            </w:pPr>
            <w:r w:rsidRPr="005373E3">
              <w:rPr>
                <w:rFonts w:eastAsia="Times New Roman" w:cs="Calibri Light"/>
                <w:iCs/>
                <w:color w:val="000000"/>
                <w:sz w:val="18"/>
                <w:szCs w:val="18"/>
              </w:rPr>
              <w:t>BS w Grębowie</w:t>
            </w:r>
          </w:p>
        </w:tc>
        <w:tc>
          <w:tcPr>
            <w:tcW w:w="1042"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03.09.2019</w:t>
            </w:r>
          </w:p>
        </w:tc>
        <w:tc>
          <w:tcPr>
            <w:tcW w:w="1300" w:type="dxa"/>
            <w:shd w:val="clear" w:color="auto" w:fill="auto"/>
            <w:vAlign w:val="center"/>
            <w:hideMark/>
          </w:tcPr>
          <w:p w:rsidR="00BE133C" w:rsidRPr="005373E3" w:rsidRDefault="00023E75" w:rsidP="00023E75">
            <w:pPr>
              <w:spacing w:after="0"/>
              <w:ind w:firstLine="0"/>
              <w:jc w:val="right"/>
              <w:rPr>
                <w:rFonts w:eastAsia="Times New Roman" w:cs="Calibri Light"/>
                <w:iCs/>
                <w:color w:val="000000"/>
                <w:sz w:val="18"/>
                <w:szCs w:val="18"/>
              </w:rPr>
            </w:pPr>
            <w:r>
              <w:rPr>
                <w:rFonts w:eastAsia="Times New Roman" w:cs="Calibri Light"/>
                <w:iCs/>
                <w:color w:val="000000"/>
                <w:sz w:val="18"/>
                <w:szCs w:val="18"/>
              </w:rPr>
              <w:t xml:space="preserve"> </w:t>
            </w:r>
            <w:r w:rsidR="00BE133C" w:rsidRPr="005373E3">
              <w:rPr>
                <w:rFonts w:eastAsia="Times New Roman" w:cs="Calibri Light"/>
                <w:iCs/>
                <w:color w:val="000000"/>
                <w:sz w:val="18"/>
                <w:szCs w:val="18"/>
              </w:rPr>
              <w:t>23 199,5</w:t>
            </w:r>
            <w:r w:rsidR="005A6833">
              <w:rPr>
                <w:rFonts w:eastAsia="Times New Roman" w:cs="Calibri Light"/>
                <w:iCs/>
                <w:color w:val="000000"/>
                <w:sz w:val="18"/>
                <w:szCs w:val="18"/>
              </w:rPr>
              <w:t xml:space="preserve"> </w:t>
            </w:r>
          </w:p>
        </w:tc>
        <w:tc>
          <w:tcPr>
            <w:tcW w:w="1300" w:type="dxa"/>
            <w:shd w:val="clear" w:color="auto" w:fill="auto"/>
            <w:vAlign w:val="center"/>
            <w:hideMark/>
          </w:tcPr>
          <w:p w:rsidR="00BE133C" w:rsidRPr="005373E3" w:rsidRDefault="00023E75" w:rsidP="00023E75">
            <w:pPr>
              <w:spacing w:after="0"/>
              <w:ind w:firstLine="0"/>
              <w:jc w:val="right"/>
              <w:rPr>
                <w:rFonts w:eastAsia="Times New Roman" w:cs="Calibri Light"/>
                <w:iCs/>
                <w:color w:val="000000"/>
                <w:sz w:val="18"/>
                <w:szCs w:val="18"/>
              </w:rPr>
            </w:pPr>
            <w:r>
              <w:rPr>
                <w:rFonts w:eastAsia="Times New Roman" w:cs="Calibri Light"/>
                <w:iCs/>
                <w:color w:val="000000"/>
                <w:sz w:val="18"/>
                <w:szCs w:val="18"/>
              </w:rPr>
              <w:t xml:space="preserve"> </w:t>
            </w:r>
            <w:r w:rsidR="00BE133C" w:rsidRPr="005373E3">
              <w:rPr>
                <w:rFonts w:eastAsia="Times New Roman" w:cs="Calibri Light"/>
                <w:iCs/>
                <w:color w:val="000000"/>
                <w:sz w:val="18"/>
                <w:szCs w:val="18"/>
              </w:rPr>
              <w:t>22 983,5</w:t>
            </w:r>
            <w:r w:rsidR="005A6833">
              <w:rPr>
                <w:rFonts w:eastAsia="Times New Roman" w:cs="Calibri Light"/>
                <w:iCs/>
                <w:color w:val="000000"/>
                <w:sz w:val="18"/>
                <w:szCs w:val="18"/>
              </w:rPr>
              <w:t xml:space="preserve"> </w:t>
            </w:r>
            <w:r w:rsidR="00BE133C" w:rsidRPr="005373E3">
              <w:rPr>
                <w:rFonts w:eastAsia="Times New Roman" w:cs="Calibri Light"/>
                <w:iCs/>
                <w:color w:val="000000"/>
                <w:sz w:val="18"/>
                <w:szCs w:val="18"/>
              </w:rPr>
              <w:t xml:space="preserve"> </w:t>
            </w:r>
          </w:p>
        </w:tc>
        <w:tc>
          <w:tcPr>
            <w:tcW w:w="1560"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22 983,5</w:t>
            </w:r>
            <w:r w:rsidR="005A6833">
              <w:rPr>
                <w:rFonts w:eastAsia="Times New Roman" w:cs="Calibri Light"/>
                <w:iCs/>
                <w:color w:val="000000"/>
                <w:sz w:val="18"/>
                <w:szCs w:val="18"/>
              </w:rPr>
              <w:t xml:space="preserve">  </w:t>
            </w:r>
          </w:p>
        </w:tc>
        <w:tc>
          <w:tcPr>
            <w:tcW w:w="1433" w:type="dxa"/>
            <w:shd w:val="clear" w:color="auto" w:fill="auto"/>
            <w:noWrap/>
            <w:vAlign w:val="center"/>
            <w:hideMark/>
          </w:tcPr>
          <w:p w:rsidR="00BE133C" w:rsidRPr="005373E3" w:rsidRDefault="00BE133C" w:rsidP="00BE133C">
            <w:pPr>
              <w:spacing w:after="0"/>
              <w:ind w:firstLine="0"/>
              <w:jc w:val="right"/>
              <w:rPr>
                <w:rFonts w:eastAsia="Times New Roman" w:cs="Calibri Light"/>
                <w:color w:val="000000"/>
                <w:sz w:val="18"/>
                <w:szCs w:val="18"/>
              </w:rPr>
            </w:pPr>
            <w:r w:rsidRPr="005373E3">
              <w:rPr>
                <w:rFonts w:eastAsia="Times New Roman" w:cs="Calibri Light"/>
                <w:color w:val="000000"/>
                <w:sz w:val="18"/>
                <w:szCs w:val="18"/>
              </w:rPr>
              <w:t xml:space="preserve"> - </w:t>
            </w:r>
          </w:p>
        </w:tc>
        <w:tc>
          <w:tcPr>
            <w:tcW w:w="1169"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0,0%</w:t>
            </w:r>
          </w:p>
        </w:tc>
      </w:tr>
      <w:tr w:rsidR="00BE133C" w:rsidRPr="00DF679D" w:rsidTr="005373E3">
        <w:trPr>
          <w:trHeight w:val="282"/>
        </w:trPr>
        <w:tc>
          <w:tcPr>
            <w:tcW w:w="2597" w:type="dxa"/>
            <w:gridSpan w:val="2"/>
            <w:shd w:val="clear" w:color="auto" w:fill="DBE5F1"/>
            <w:noWrap/>
            <w:vAlign w:val="center"/>
            <w:hideMark/>
          </w:tcPr>
          <w:p w:rsidR="00BE133C" w:rsidRPr="00DF679D" w:rsidRDefault="00BE133C" w:rsidP="00BE133C">
            <w:pPr>
              <w:spacing w:after="0"/>
              <w:ind w:firstLine="0"/>
              <w:jc w:val="center"/>
              <w:rPr>
                <w:rFonts w:eastAsia="Times New Roman" w:cs="Calibri Light"/>
                <w:b/>
                <w:bCs/>
                <w:i/>
                <w:iCs/>
                <w:color w:val="000000"/>
                <w:sz w:val="18"/>
                <w:szCs w:val="18"/>
              </w:rPr>
            </w:pPr>
            <w:r w:rsidRPr="005373E3">
              <w:rPr>
                <w:rFonts w:eastAsia="Times New Roman" w:cs="Calibri Light"/>
                <w:b/>
                <w:bCs/>
                <w:iCs/>
                <w:color w:val="000000"/>
                <w:sz w:val="18"/>
                <w:szCs w:val="18"/>
              </w:rPr>
              <w:t>Razem</w:t>
            </w:r>
          </w:p>
        </w:tc>
        <w:tc>
          <w:tcPr>
            <w:tcW w:w="1300" w:type="dxa"/>
            <w:shd w:val="clear" w:color="auto" w:fill="DBE5F1"/>
            <w:noWrap/>
            <w:vAlign w:val="center"/>
            <w:hideMark/>
          </w:tcPr>
          <w:p w:rsidR="00BE133C" w:rsidRPr="00DF679D" w:rsidRDefault="00023E75" w:rsidP="00023E75">
            <w:pPr>
              <w:spacing w:after="0"/>
              <w:ind w:firstLine="0"/>
              <w:jc w:val="right"/>
              <w:rPr>
                <w:rFonts w:eastAsia="Times New Roman" w:cs="Calibri Light"/>
                <w:b/>
                <w:bCs/>
                <w:color w:val="000000"/>
                <w:sz w:val="18"/>
                <w:szCs w:val="18"/>
              </w:rPr>
            </w:pPr>
            <w:r>
              <w:rPr>
                <w:rFonts w:eastAsia="Times New Roman" w:cs="Calibri Light"/>
                <w:b/>
                <w:bCs/>
                <w:color w:val="000000"/>
                <w:sz w:val="18"/>
                <w:szCs w:val="18"/>
              </w:rPr>
              <w:t xml:space="preserve"> 2 203 374,3</w:t>
            </w:r>
            <w:r w:rsidR="005A6833">
              <w:rPr>
                <w:rFonts w:eastAsia="Times New Roman" w:cs="Calibri Light"/>
                <w:b/>
                <w:bCs/>
                <w:color w:val="000000"/>
                <w:sz w:val="18"/>
                <w:szCs w:val="18"/>
              </w:rPr>
              <w:t xml:space="preserve"> </w:t>
            </w:r>
          </w:p>
        </w:tc>
        <w:tc>
          <w:tcPr>
            <w:tcW w:w="1300" w:type="dxa"/>
            <w:shd w:val="clear" w:color="auto" w:fill="DBE5F1"/>
            <w:noWrap/>
            <w:vAlign w:val="center"/>
            <w:hideMark/>
          </w:tcPr>
          <w:p w:rsidR="00BE133C" w:rsidRPr="00DF679D" w:rsidRDefault="00023E75" w:rsidP="00023E75">
            <w:pPr>
              <w:spacing w:after="0"/>
              <w:ind w:firstLine="0"/>
              <w:jc w:val="right"/>
              <w:rPr>
                <w:rFonts w:eastAsia="Times New Roman" w:cs="Calibri Light"/>
                <w:b/>
                <w:bCs/>
                <w:color w:val="000000"/>
                <w:sz w:val="18"/>
                <w:szCs w:val="18"/>
              </w:rPr>
            </w:pPr>
            <w:r>
              <w:rPr>
                <w:rFonts w:eastAsia="Times New Roman" w:cs="Calibri Light"/>
                <w:b/>
                <w:bCs/>
                <w:color w:val="000000"/>
                <w:sz w:val="18"/>
                <w:szCs w:val="18"/>
              </w:rPr>
              <w:t xml:space="preserve"> </w:t>
            </w:r>
            <w:r w:rsidR="00BE133C" w:rsidRPr="00DF679D">
              <w:rPr>
                <w:rFonts w:eastAsia="Times New Roman" w:cs="Calibri Light"/>
                <w:b/>
                <w:bCs/>
                <w:color w:val="000000"/>
                <w:sz w:val="18"/>
                <w:szCs w:val="18"/>
              </w:rPr>
              <w:t>2 203 160,2</w:t>
            </w:r>
            <w:r w:rsidR="005A6833">
              <w:rPr>
                <w:rFonts w:eastAsia="Times New Roman" w:cs="Calibri Light"/>
                <w:b/>
                <w:bCs/>
                <w:color w:val="000000"/>
                <w:sz w:val="18"/>
                <w:szCs w:val="18"/>
              </w:rPr>
              <w:t xml:space="preserve"> </w:t>
            </w:r>
            <w:r w:rsidR="00BE133C" w:rsidRPr="00DF679D">
              <w:rPr>
                <w:rFonts w:eastAsia="Times New Roman" w:cs="Calibri Light"/>
                <w:b/>
                <w:bCs/>
                <w:color w:val="000000"/>
                <w:sz w:val="18"/>
                <w:szCs w:val="18"/>
              </w:rPr>
              <w:t xml:space="preserve"> </w:t>
            </w:r>
          </w:p>
        </w:tc>
        <w:tc>
          <w:tcPr>
            <w:tcW w:w="1560" w:type="dxa"/>
            <w:shd w:val="clear" w:color="auto" w:fill="DBE5F1"/>
            <w:noWrap/>
            <w:vAlign w:val="center"/>
            <w:hideMark/>
          </w:tcPr>
          <w:p w:rsidR="00BE133C" w:rsidRPr="00DF679D" w:rsidRDefault="00BE133C" w:rsidP="00023E75">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2 125 904,5</w:t>
            </w:r>
          </w:p>
        </w:tc>
        <w:tc>
          <w:tcPr>
            <w:tcW w:w="1433" w:type="dxa"/>
            <w:shd w:val="clear" w:color="auto" w:fill="DBE5F1"/>
            <w:noWrap/>
            <w:vAlign w:val="center"/>
            <w:hideMark/>
          </w:tcPr>
          <w:p w:rsidR="00BE133C" w:rsidRPr="00DF679D" w:rsidRDefault="00BE133C" w:rsidP="00023E75">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77 255,7</w:t>
            </w:r>
            <w:r w:rsidR="005A6833">
              <w:rPr>
                <w:rFonts w:eastAsia="Times New Roman" w:cs="Calibri Light"/>
                <w:b/>
                <w:bCs/>
                <w:color w:val="000000"/>
                <w:sz w:val="18"/>
                <w:szCs w:val="18"/>
              </w:rPr>
              <w:t xml:space="preserve"> </w:t>
            </w:r>
            <w:r w:rsidRPr="00DF679D">
              <w:rPr>
                <w:rFonts w:eastAsia="Times New Roman" w:cs="Calibri Light"/>
                <w:b/>
                <w:bCs/>
                <w:color w:val="000000"/>
                <w:sz w:val="18"/>
                <w:szCs w:val="18"/>
              </w:rPr>
              <w:t xml:space="preserve"> </w:t>
            </w:r>
          </w:p>
        </w:tc>
        <w:tc>
          <w:tcPr>
            <w:tcW w:w="1169" w:type="dxa"/>
            <w:shd w:val="clear" w:color="auto" w:fill="DBE5F1"/>
            <w:noWrap/>
            <w:vAlign w:val="center"/>
            <w:hideMark/>
          </w:tcPr>
          <w:p w:rsidR="00BE133C" w:rsidRPr="00DF679D" w:rsidRDefault="00BE133C" w:rsidP="00BE133C">
            <w:pPr>
              <w:spacing w:after="0"/>
              <w:ind w:firstLine="0"/>
              <w:jc w:val="center"/>
              <w:rPr>
                <w:rFonts w:eastAsia="Times New Roman" w:cs="Calibri Light"/>
                <w:b/>
                <w:bCs/>
                <w:color w:val="000000"/>
                <w:sz w:val="18"/>
                <w:szCs w:val="18"/>
              </w:rPr>
            </w:pPr>
            <w:r w:rsidRPr="00DF679D">
              <w:rPr>
                <w:rFonts w:eastAsia="Times New Roman" w:cs="Calibri Light"/>
                <w:b/>
                <w:bCs/>
                <w:color w:val="000000"/>
                <w:sz w:val="18"/>
                <w:szCs w:val="18"/>
              </w:rPr>
              <w:t>3,5%</w:t>
            </w:r>
          </w:p>
        </w:tc>
      </w:tr>
    </w:tbl>
    <w:p w:rsidR="007412DC" w:rsidRPr="00EA3EDA" w:rsidRDefault="007412DC" w:rsidP="005D26B6">
      <w:pPr>
        <w:tabs>
          <w:tab w:val="left" w:pos="8789"/>
        </w:tabs>
        <w:spacing w:before="240" w:after="60"/>
        <w:ind w:firstLine="0"/>
        <w:rPr>
          <w:rFonts w:cs="Calibri Light"/>
          <w:b/>
          <w:sz w:val="22"/>
          <w:szCs w:val="22"/>
        </w:rPr>
      </w:pPr>
      <w:r w:rsidRPr="00EA3EDA">
        <w:rPr>
          <w:rFonts w:cs="Calibri Light"/>
          <w:b/>
          <w:sz w:val="22"/>
          <w:szCs w:val="22"/>
        </w:rPr>
        <w:t xml:space="preserve">Tabela 7. Zestawienie postępowań upadłościowych wobec skok-ów, w których Fundusz jest wierzycielem z tytułu wypłat środków gwarantowanych </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2"/>
        <w:gridCol w:w="1191"/>
        <w:gridCol w:w="1246"/>
        <w:gridCol w:w="1356"/>
        <w:gridCol w:w="1558"/>
        <w:gridCol w:w="1464"/>
        <w:gridCol w:w="1092"/>
      </w:tblGrid>
      <w:tr w:rsidR="00BE133C" w:rsidRPr="00DF679D" w:rsidTr="005373E3">
        <w:trPr>
          <w:trHeight w:val="246"/>
        </w:trPr>
        <w:tc>
          <w:tcPr>
            <w:tcW w:w="1457" w:type="dxa"/>
            <w:vMerge w:val="restart"/>
            <w:shd w:val="clear" w:color="auto" w:fill="2A5384"/>
            <w:vAlign w:val="center"/>
            <w:hideMark/>
          </w:tcPr>
          <w:p w:rsidR="00BE133C" w:rsidRPr="00036F42" w:rsidRDefault="00BE133C" w:rsidP="00036F42">
            <w:pPr>
              <w:spacing w:after="0"/>
              <w:ind w:firstLine="0"/>
              <w:jc w:val="center"/>
              <w:rPr>
                <w:rFonts w:eastAsia="Times New Roman" w:cs="Calibri Light"/>
                <w:b/>
                <w:color w:val="FFFFFF" w:themeColor="background1"/>
                <w:sz w:val="18"/>
                <w:szCs w:val="18"/>
              </w:rPr>
            </w:pPr>
            <w:r w:rsidRPr="00036F42">
              <w:rPr>
                <w:rFonts w:eastAsia="Times New Roman" w:cs="Calibri Light"/>
                <w:b/>
                <w:color w:val="FFFFFF" w:themeColor="background1"/>
                <w:sz w:val="18"/>
                <w:szCs w:val="18"/>
              </w:rPr>
              <w:t>Upadły</w:t>
            </w:r>
            <w:r w:rsidR="005373E3" w:rsidRPr="00036F42">
              <w:rPr>
                <w:rFonts w:eastAsia="Times New Roman" w:cs="Calibri Light"/>
                <w:b/>
                <w:color w:val="FFFFFF" w:themeColor="background1"/>
                <w:sz w:val="18"/>
                <w:szCs w:val="18"/>
              </w:rPr>
              <w:t xml:space="preserve"> SKOK</w:t>
            </w:r>
          </w:p>
        </w:tc>
        <w:tc>
          <w:tcPr>
            <w:tcW w:w="1194" w:type="dxa"/>
            <w:vMerge w:val="restart"/>
            <w:shd w:val="clear" w:color="auto" w:fill="2A5384"/>
            <w:vAlign w:val="center"/>
            <w:hideMark/>
          </w:tcPr>
          <w:p w:rsidR="00BE133C" w:rsidRPr="00036F42" w:rsidRDefault="00BE133C" w:rsidP="00BE133C">
            <w:pPr>
              <w:spacing w:after="0"/>
              <w:ind w:firstLine="0"/>
              <w:jc w:val="center"/>
              <w:rPr>
                <w:rFonts w:eastAsia="Times New Roman" w:cs="Calibri Light"/>
                <w:b/>
                <w:color w:val="FFFFFF" w:themeColor="background1"/>
                <w:sz w:val="18"/>
                <w:szCs w:val="18"/>
              </w:rPr>
            </w:pPr>
            <w:r w:rsidRPr="00036F42">
              <w:rPr>
                <w:rFonts w:eastAsia="Times New Roman" w:cs="Calibri Light"/>
                <w:b/>
                <w:color w:val="FFFFFF" w:themeColor="background1"/>
                <w:sz w:val="18"/>
                <w:szCs w:val="18"/>
              </w:rPr>
              <w:t>Data ogłoszenia upadłości</w:t>
            </w:r>
          </w:p>
        </w:tc>
        <w:tc>
          <w:tcPr>
            <w:tcW w:w="1247" w:type="dxa"/>
            <w:shd w:val="clear" w:color="auto" w:fill="2A5384"/>
            <w:vAlign w:val="center"/>
            <w:hideMark/>
          </w:tcPr>
          <w:p w:rsidR="00BE133C" w:rsidRPr="00036F42" w:rsidRDefault="00BE133C" w:rsidP="00BE133C">
            <w:pPr>
              <w:spacing w:after="0"/>
              <w:ind w:firstLine="0"/>
              <w:jc w:val="center"/>
              <w:rPr>
                <w:rFonts w:eastAsia="Times New Roman" w:cs="Calibri Light"/>
                <w:b/>
                <w:color w:val="FFFFFF" w:themeColor="background1"/>
                <w:sz w:val="18"/>
                <w:szCs w:val="18"/>
              </w:rPr>
            </w:pPr>
            <w:r w:rsidRPr="00036F42">
              <w:rPr>
                <w:rFonts w:eastAsia="Times New Roman" w:cs="Calibri Light"/>
                <w:b/>
                <w:color w:val="FFFFFF" w:themeColor="background1"/>
                <w:sz w:val="18"/>
                <w:szCs w:val="18"/>
              </w:rPr>
              <w:t>Wierzytelność BFG - zgłoszona</w:t>
            </w:r>
          </w:p>
        </w:tc>
        <w:tc>
          <w:tcPr>
            <w:tcW w:w="1359" w:type="dxa"/>
            <w:shd w:val="clear" w:color="auto" w:fill="2A5384"/>
            <w:vAlign w:val="bottom"/>
            <w:hideMark/>
          </w:tcPr>
          <w:p w:rsidR="00BE133C" w:rsidRPr="00036F42" w:rsidRDefault="00BE133C" w:rsidP="00BE133C">
            <w:pPr>
              <w:spacing w:after="0"/>
              <w:ind w:firstLine="0"/>
              <w:jc w:val="center"/>
              <w:rPr>
                <w:rFonts w:eastAsia="Times New Roman" w:cs="Calibri Light"/>
                <w:b/>
                <w:color w:val="FFFFFF" w:themeColor="background1"/>
                <w:sz w:val="18"/>
                <w:szCs w:val="18"/>
              </w:rPr>
            </w:pPr>
            <w:r w:rsidRPr="00036F42">
              <w:rPr>
                <w:rFonts w:eastAsia="Times New Roman" w:cs="Calibri Light"/>
                <w:b/>
                <w:color w:val="FFFFFF" w:themeColor="background1"/>
                <w:sz w:val="18"/>
                <w:szCs w:val="18"/>
              </w:rPr>
              <w:t xml:space="preserve">Wierzytelność BFG - uznana </w:t>
            </w:r>
          </w:p>
        </w:tc>
        <w:tc>
          <w:tcPr>
            <w:tcW w:w="1563" w:type="dxa"/>
            <w:shd w:val="clear" w:color="auto" w:fill="2A5384"/>
            <w:vAlign w:val="center"/>
            <w:hideMark/>
          </w:tcPr>
          <w:p w:rsidR="00BE133C" w:rsidRPr="00036F42" w:rsidRDefault="00BE133C" w:rsidP="00BE133C">
            <w:pPr>
              <w:spacing w:after="0"/>
              <w:ind w:firstLine="0"/>
              <w:jc w:val="center"/>
              <w:rPr>
                <w:rFonts w:eastAsia="Times New Roman" w:cs="Calibri Light"/>
                <w:b/>
                <w:color w:val="FFFFFF" w:themeColor="background1"/>
                <w:sz w:val="18"/>
                <w:szCs w:val="18"/>
              </w:rPr>
            </w:pPr>
            <w:r w:rsidRPr="00036F42">
              <w:rPr>
                <w:rFonts w:eastAsia="Times New Roman" w:cs="Calibri Light"/>
                <w:b/>
                <w:color w:val="FFFFFF" w:themeColor="background1"/>
                <w:sz w:val="18"/>
                <w:szCs w:val="18"/>
              </w:rPr>
              <w:t>Wierzytelności BFG - 30.09.2022 r.</w:t>
            </w:r>
          </w:p>
        </w:tc>
        <w:tc>
          <w:tcPr>
            <w:tcW w:w="1462" w:type="dxa"/>
            <w:shd w:val="clear" w:color="auto" w:fill="2A5384"/>
            <w:vAlign w:val="center"/>
            <w:hideMark/>
          </w:tcPr>
          <w:p w:rsidR="00BE133C" w:rsidRPr="00036F42" w:rsidRDefault="00BE133C" w:rsidP="00BE133C">
            <w:pPr>
              <w:spacing w:after="0"/>
              <w:ind w:firstLine="0"/>
              <w:jc w:val="center"/>
              <w:rPr>
                <w:rFonts w:eastAsia="Times New Roman" w:cs="Calibri Light"/>
                <w:b/>
                <w:color w:val="FFFFFF" w:themeColor="background1"/>
                <w:sz w:val="18"/>
                <w:szCs w:val="18"/>
              </w:rPr>
            </w:pPr>
            <w:r w:rsidRPr="00036F42">
              <w:rPr>
                <w:rFonts w:eastAsia="Times New Roman" w:cs="Calibri Light"/>
                <w:b/>
                <w:color w:val="FFFFFF" w:themeColor="background1"/>
                <w:sz w:val="18"/>
                <w:szCs w:val="18"/>
              </w:rPr>
              <w:t>Kwota odzyskana przez Fundusz</w:t>
            </w:r>
          </w:p>
        </w:tc>
        <w:tc>
          <w:tcPr>
            <w:tcW w:w="1075" w:type="dxa"/>
            <w:vMerge w:val="restart"/>
            <w:shd w:val="clear" w:color="auto" w:fill="2A5384"/>
            <w:vAlign w:val="center"/>
            <w:hideMark/>
          </w:tcPr>
          <w:p w:rsidR="00BE133C" w:rsidRPr="00036F42" w:rsidRDefault="00BE133C" w:rsidP="00BE133C">
            <w:pPr>
              <w:spacing w:after="0"/>
              <w:ind w:firstLine="0"/>
              <w:jc w:val="center"/>
              <w:rPr>
                <w:rFonts w:eastAsia="Times New Roman" w:cs="Calibri Light"/>
                <w:b/>
                <w:color w:val="FFFFFF" w:themeColor="background1"/>
                <w:sz w:val="18"/>
                <w:szCs w:val="18"/>
              </w:rPr>
            </w:pPr>
            <w:r w:rsidRPr="00036F42">
              <w:rPr>
                <w:rFonts w:eastAsia="Times New Roman" w:cs="Calibri Light"/>
                <w:b/>
                <w:color w:val="FFFFFF" w:themeColor="background1"/>
                <w:sz w:val="18"/>
                <w:szCs w:val="18"/>
              </w:rPr>
              <w:t>Zaspokojenie Funduszu</w:t>
            </w:r>
          </w:p>
        </w:tc>
      </w:tr>
      <w:tr w:rsidR="00BE133C" w:rsidRPr="00DF679D" w:rsidTr="005373E3">
        <w:trPr>
          <w:trHeight w:val="139"/>
        </w:trPr>
        <w:tc>
          <w:tcPr>
            <w:tcW w:w="1457" w:type="dxa"/>
            <w:vMerge/>
            <w:vAlign w:val="center"/>
            <w:hideMark/>
          </w:tcPr>
          <w:p w:rsidR="00BE133C" w:rsidRPr="00DF679D" w:rsidRDefault="00BE133C" w:rsidP="00BE133C">
            <w:pPr>
              <w:spacing w:after="0"/>
              <w:ind w:firstLine="0"/>
              <w:jc w:val="left"/>
              <w:rPr>
                <w:rFonts w:eastAsia="Times New Roman" w:cs="Calibri Light"/>
                <w:color w:val="000000"/>
                <w:sz w:val="18"/>
                <w:szCs w:val="18"/>
              </w:rPr>
            </w:pPr>
          </w:p>
        </w:tc>
        <w:tc>
          <w:tcPr>
            <w:tcW w:w="1194" w:type="dxa"/>
            <w:vMerge/>
            <w:vAlign w:val="center"/>
            <w:hideMark/>
          </w:tcPr>
          <w:p w:rsidR="00BE133C" w:rsidRPr="00DF679D" w:rsidRDefault="00BE133C" w:rsidP="00BE133C">
            <w:pPr>
              <w:spacing w:after="0"/>
              <w:ind w:firstLine="0"/>
              <w:jc w:val="left"/>
              <w:rPr>
                <w:rFonts w:eastAsia="Times New Roman" w:cs="Calibri Light"/>
                <w:color w:val="000000"/>
                <w:sz w:val="18"/>
                <w:szCs w:val="18"/>
              </w:rPr>
            </w:pPr>
          </w:p>
        </w:tc>
        <w:tc>
          <w:tcPr>
            <w:tcW w:w="5633" w:type="dxa"/>
            <w:gridSpan w:val="4"/>
            <w:shd w:val="clear" w:color="auto" w:fill="DBE5F1"/>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(tys. zł)</w:t>
            </w:r>
          </w:p>
        </w:tc>
        <w:tc>
          <w:tcPr>
            <w:tcW w:w="1075" w:type="dxa"/>
            <w:vMerge/>
            <w:vAlign w:val="center"/>
            <w:hideMark/>
          </w:tcPr>
          <w:p w:rsidR="00BE133C" w:rsidRPr="00DF679D" w:rsidRDefault="00BE133C" w:rsidP="00BE133C">
            <w:pPr>
              <w:spacing w:after="0"/>
              <w:ind w:firstLine="0"/>
              <w:jc w:val="left"/>
              <w:rPr>
                <w:rFonts w:eastAsia="Times New Roman" w:cs="Calibri Light"/>
                <w:color w:val="000000"/>
                <w:sz w:val="18"/>
                <w:szCs w:val="18"/>
              </w:rPr>
            </w:pPr>
          </w:p>
        </w:tc>
      </w:tr>
      <w:tr w:rsidR="00BE133C" w:rsidRPr="00DF679D" w:rsidTr="005373E3">
        <w:trPr>
          <w:trHeight w:val="210"/>
        </w:trPr>
        <w:tc>
          <w:tcPr>
            <w:tcW w:w="1457" w:type="dxa"/>
            <w:shd w:val="clear" w:color="000000" w:fill="FFFFFF"/>
            <w:vAlign w:val="center"/>
            <w:hideMark/>
          </w:tcPr>
          <w:p w:rsidR="00BE133C" w:rsidRPr="005373E3" w:rsidRDefault="00BE133C" w:rsidP="00BE133C">
            <w:pPr>
              <w:spacing w:after="0"/>
              <w:ind w:firstLine="0"/>
              <w:rPr>
                <w:rFonts w:eastAsia="Times New Roman" w:cs="Calibri Light"/>
                <w:iCs/>
                <w:color w:val="000000"/>
                <w:sz w:val="18"/>
                <w:szCs w:val="18"/>
              </w:rPr>
            </w:pPr>
            <w:r w:rsidRPr="005373E3">
              <w:rPr>
                <w:rFonts w:eastAsia="Times New Roman" w:cs="Calibri Light"/>
                <w:iCs/>
                <w:color w:val="000000"/>
                <w:sz w:val="18"/>
                <w:szCs w:val="18"/>
              </w:rPr>
              <w:t>Wspólnota</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26.09.2014</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837 395,8</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828 353,6</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429 553,6</w:t>
            </w:r>
            <w:r w:rsidR="005A6833">
              <w:rPr>
                <w:rFonts w:eastAsia="Times New Roman" w:cs="Calibri Light"/>
                <w:iCs/>
                <w:color w:val="000000"/>
                <w:sz w:val="18"/>
                <w:szCs w:val="18"/>
              </w:rPr>
              <w:t xml:space="preserve">  </w:t>
            </w:r>
          </w:p>
        </w:tc>
        <w:tc>
          <w:tcPr>
            <w:tcW w:w="1462" w:type="dxa"/>
            <w:shd w:val="clear" w:color="auto" w:fill="auto"/>
            <w:noWrap/>
            <w:vAlign w:val="center"/>
            <w:hideMark/>
          </w:tcPr>
          <w:p w:rsidR="00BE133C" w:rsidRPr="005373E3" w:rsidRDefault="00BE133C" w:rsidP="00472FF4">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398 800,0</w:t>
            </w:r>
            <w:r w:rsidR="005A6833">
              <w:rPr>
                <w:rFonts w:eastAsia="Times New Roman" w:cs="Calibri Light"/>
                <w:iCs/>
                <w:color w:val="000000"/>
                <w:sz w:val="18"/>
                <w:szCs w:val="18"/>
              </w:rPr>
              <w:t xml:space="preserve"> </w:t>
            </w:r>
            <w:r w:rsidRPr="005373E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48,1%</w:t>
            </w:r>
          </w:p>
        </w:tc>
      </w:tr>
      <w:tr w:rsidR="00BE133C" w:rsidRPr="00DF679D" w:rsidTr="005373E3">
        <w:trPr>
          <w:trHeight w:val="238"/>
        </w:trPr>
        <w:tc>
          <w:tcPr>
            <w:tcW w:w="1457" w:type="dxa"/>
            <w:shd w:val="clear" w:color="000000" w:fill="FFFFFF"/>
            <w:vAlign w:val="center"/>
            <w:hideMark/>
          </w:tcPr>
          <w:p w:rsidR="00BE133C" w:rsidRPr="005373E3" w:rsidRDefault="00C30AFC" w:rsidP="00BE133C">
            <w:pPr>
              <w:spacing w:after="0"/>
              <w:ind w:firstLine="0"/>
              <w:rPr>
                <w:rFonts w:eastAsia="Times New Roman" w:cs="Calibri Light"/>
                <w:iCs/>
                <w:color w:val="000000"/>
                <w:sz w:val="18"/>
                <w:szCs w:val="18"/>
              </w:rPr>
            </w:pPr>
            <w:r>
              <w:rPr>
                <w:rFonts w:eastAsia="Times New Roman" w:cs="Calibri Light"/>
                <w:iCs/>
                <w:color w:val="000000"/>
                <w:sz w:val="18"/>
                <w:szCs w:val="18"/>
              </w:rPr>
              <w:t xml:space="preserve">w </w:t>
            </w:r>
            <w:r w:rsidR="00BE133C" w:rsidRPr="005373E3">
              <w:rPr>
                <w:rFonts w:eastAsia="Times New Roman" w:cs="Calibri Light"/>
                <w:iCs/>
                <w:color w:val="000000"/>
                <w:sz w:val="18"/>
                <w:szCs w:val="18"/>
              </w:rPr>
              <w:t>Wołomin</w:t>
            </w:r>
            <w:r>
              <w:rPr>
                <w:rFonts w:eastAsia="Times New Roman" w:cs="Calibri Light"/>
                <w:iCs/>
                <w:color w:val="000000"/>
                <w:sz w:val="18"/>
                <w:szCs w:val="18"/>
              </w:rPr>
              <w:t>ie</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05.02.2015</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2 276 215,8</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2 253 424,6</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2 253 424,6</w:t>
            </w:r>
            <w:r w:rsidR="005A6833">
              <w:rPr>
                <w:rFonts w:eastAsia="Times New Roman" w:cs="Calibri Light"/>
                <w:iCs/>
                <w:color w:val="000000"/>
                <w:sz w:val="18"/>
                <w:szCs w:val="18"/>
              </w:rPr>
              <w:t xml:space="preserve">  </w:t>
            </w:r>
          </w:p>
        </w:tc>
        <w:tc>
          <w:tcPr>
            <w:tcW w:w="1462" w:type="dxa"/>
            <w:shd w:val="clear" w:color="auto" w:fill="auto"/>
            <w:noWrap/>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0,0%</w:t>
            </w:r>
          </w:p>
        </w:tc>
      </w:tr>
      <w:tr w:rsidR="00BE133C" w:rsidRPr="00DF679D" w:rsidTr="005373E3">
        <w:trPr>
          <w:trHeight w:val="238"/>
        </w:trPr>
        <w:tc>
          <w:tcPr>
            <w:tcW w:w="1457" w:type="dxa"/>
            <w:shd w:val="clear" w:color="000000" w:fill="FFFFFF"/>
            <w:vAlign w:val="center"/>
            <w:hideMark/>
          </w:tcPr>
          <w:p w:rsidR="00BE133C" w:rsidRPr="005373E3" w:rsidRDefault="00C30AFC" w:rsidP="00BE133C">
            <w:pPr>
              <w:spacing w:after="0"/>
              <w:ind w:firstLine="0"/>
              <w:rPr>
                <w:rFonts w:eastAsia="Times New Roman" w:cs="Calibri Light"/>
                <w:iCs/>
                <w:color w:val="000000"/>
                <w:sz w:val="18"/>
                <w:szCs w:val="18"/>
              </w:rPr>
            </w:pPr>
            <w:r>
              <w:rPr>
                <w:rFonts w:eastAsia="Times New Roman" w:cs="Calibri Light"/>
                <w:iCs/>
                <w:color w:val="000000"/>
                <w:sz w:val="18"/>
                <w:szCs w:val="18"/>
              </w:rPr>
              <w:t>„</w:t>
            </w:r>
            <w:r w:rsidR="00BE133C" w:rsidRPr="005373E3">
              <w:rPr>
                <w:rFonts w:eastAsia="Times New Roman" w:cs="Calibri Light"/>
                <w:iCs/>
                <w:color w:val="000000"/>
                <w:sz w:val="18"/>
                <w:szCs w:val="18"/>
              </w:rPr>
              <w:t>Polska</w:t>
            </w:r>
            <w:r>
              <w:rPr>
                <w:rFonts w:eastAsia="Times New Roman" w:cs="Calibri Light"/>
                <w:iCs/>
                <w:color w:val="000000"/>
                <w:sz w:val="18"/>
                <w:szCs w:val="18"/>
              </w:rPr>
              <w:t>”</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13.04.2016</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171 696,0</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171 402,2</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101 164,2</w:t>
            </w:r>
            <w:r w:rsidR="005A6833">
              <w:rPr>
                <w:rFonts w:eastAsia="Times New Roman" w:cs="Calibri Light"/>
                <w:iCs/>
                <w:color w:val="000000"/>
                <w:sz w:val="18"/>
                <w:szCs w:val="18"/>
              </w:rPr>
              <w:t xml:space="preserve">  </w:t>
            </w:r>
          </w:p>
        </w:tc>
        <w:tc>
          <w:tcPr>
            <w:tcW w:w="1462" w:type="dxa"/>
            <w:shd w:val="clear" w:color="auto" w:fill="auto"/>
            <w:noWrap/>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70 237,9</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41,0%</w:t>
            </w:r>
          </w:p>
        </w:tc>
      </w:tr>
      <w:tr w:rsidR="00BE133C" w:rsidRPr="00DF679D" w:rsidTr="005373E3">
        <w:trPr>
          <w:trHeight w:val="238"/>
        </w:trPr>
        <w:tc>
          <w:tcPr>
            <w:tcW w:w="1457" w:type="dxa"/>
            <w:shd w:val="clear" w:color="000000" w:fill="FFFFFF"/>
            <w:vAlign w:val="center"/>
            <w:hideMark/>
          </w:tcPr>
          <w:p w:rsidR="00BE133C" w:rsidRPr="005373E3" w:rsidRDefault="00BE133C" w:rsidP="00BE133C">
            <w:pPr>
              <w:spacing w:after="0"/>
              <w:ind w:firstLine="0"/>
              <w:rPr>
                <w:rFonts w:eastAsia="Times New Roman" w:cs="Calibri Light"/>
                <w:iCs/>
                <w:color w:val="000000"/>
                <w:sz w:val="18"/>
                <w:szCs w:val="18"/>
              </w:rPr>
            </w:pPr>
            <w:r w:rsidRPr="005373E3">
              <w:rPr>
                <w:rFonts w:eastAsia="Times New Roman" w:cs="Calibri Light"/>
                <w:iCs/>
                <w:color w:val="000000"/>
                <w:sz w:val="18"/>
                <w:szCs w:val="18"/>
              </w:rPr>
              <w:t>Kujawiak</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31.05.2016</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188 775,6</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188 499,5</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131 504,3</w:t>
            </w:r>
            <w:r w:rsidR="005A6833">
              <w:rPr>
                <w:rFonts w:eastAsia="Times New Roman" w:cs="Calibri Light"/>
                <w:iCs/>
                <w:color w:val="000000"/>
                <w:sz w:val="18"/>
                <w:szCs w:val="18"/>
              </w:rPr>
              <w:t xml:space="preserve">  </w:t>
            </w:r>
          </w:p>
        </w:tc>
        <w:tc>
          <w:tcPr>
            <w:tcW w:w="1462" w:type="dxa"/>
            <w:shd w:val="clear" w:color="auto" w:fill="auto"/>
            <w:noWrap/>
            <w:vAlign w:val="bottom"/>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56 995,2</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30,2%</w:t>
            </w:r>
          </w:p>
        </w:tc>
      </w:tr>
      <w:tr w:rsidR="00BE133C" w:rsidRPr="00DF679D" w:rsidTr="005373E3">
        <w:trPr>
          <w:trHeight w:val="238"/>
        </w:trPr>
        <w:tc>
          <w:tcPr>
            <w:tcW w:w="1457" w:type="dxa"/>
            <w:shd w:val="clear" w:color="000000" w:fill="FFFFFF"/>
            <w:vAlign w:val="center"/>
            <w:hideMark/>
          </w:tcPr>
          <w:p w:rsidR="00BE133C" w:rsidRPr="005373E3" w:rsidRDefault="005373E3" w:rsidP="00BE133C">
            <w:pPr>
              <w:spacing w:after="0"/>
              <w:ind w:firstLine="0"/>
              <w:rPr>
                <w:rFonts w:eastAsia="Times New Roman" w:cs="Calibri Light"/>
                <w:iCs/>
                <w:color w:val="000000"/>
                <w:sz w:val="18"/>
                <w:szCs w:val="18"/>
              </w:rPr>
            </w:pPr>
            <w:r>
              <w:rPr>
                <w:rFonts w:eastAsia="Times New Roman" w:cs="Calibri Light"/>
                <w:iCs/>
                <w:color w:val="000000"/>
                <w:sz w:val="18"/>
                <w:szCs w:val="18"/>
              </w:rPr>
              <w:t>„</w:t>
            </w:r>
            <w:r w:rsidR="00BE133C" w:rsidRPr="005373E3">
              <w:rPr>
                <w:rFonts w:eastAsia="Times New Roman" w:cs="Calibri Light"/>
                <w:iCs/>
                <w:color w:val="000000"/>
                <w:sz w:val="18"/>
                <w:szCs w:val="18"/>
              </w:rPr>
              <w:t>Jowisz</w:t>
            </w:r>
            <w:r>
              <w:rPr>
                <w:rFonts w:eastAsia="Times New Roman" w:cs="Calibri Light"/>
                <w:iCs/>
                <w:color w:val="000000"/>
                <w:sz w:val="18"/>
                <w:szCs w:val="18"/>
              </w:rPr>
              <w:t>”</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02.06.2016</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82 511,4</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82 511,4</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25 511,4</w:t>
            </w:r>
            <w:r w:rsidR="005A6833">
              <w:rPr>
                <w:rFonts w:eastAsia="Times New Roman" w:cs="Calibri Light"/>
                <w:iCs/>
                <w:color w:val="000000"/>
                <w:sz w:val="18"/>
                <w:szCs w:val="18"/>
              </w:rPr>
              <w:t xml:space="preserve">  </w:t>
            </w:r>
          </w:p>
        </w:tc>
        <w:tc>
          <w:tcPr>
            <w:tcW w:w="1462" w:type="dxa"/>
            <w:shd w:val="clear" w:color="auto" w:fill="auto"/>
            <w:noWrap/>
            <w:vAlign w:val="bottom"/>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57 000,0</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69,1%</w:t>
            </w:r>
          </w:p>
        </w:tc>
      </w:tr>
      <w:tr w:rsidR="00BE133C" w:rsidRPr="00DF679D" w:rsidTr="005373E3">
        <w:trPr>
          <w:trHeight w:val="238"/>
        </w:trPr>
        <w:tc>
          <w:tcPr>
            <w:tcW w:w="1457" w:type="dxa"/>
            <w:shd w:val="clear" w:color="000000" w:fill="FFFFFF"/>
            <w:vAlign w:val="center"/>
            <w:hideMark/>
          </w:tcPr>
          <w:p w:rsidR="00BE133C" w:rsidRPr="005373E3" w:rsidRDefault="005373E3" w:rsidP="00BE133C">
            <w:pPr>
              <w:spacing w:after="0"/>
              <w:ind w:firstLine="0"/>
              <w:rPr>
                <w:rFonts w:eastAsia="Times New Roman" w:cs="Calibri Light"/>
                <w:iCs/>
                <w:color w:val="000000"/>
                <w:sz w:val="18"/>
                <w:szCs w:val="18"/>
              </w:rPr>
            </w:pPr>
            <w:r>
              <w:rPr>
                <w:rFonts w:eastAsia="Times New Roman" w:cs="Calibri Light"/>
                <w:iCs/>
                <w:color w:val="000000"/>
                <w:sz w:val="18"/>
                <w:szCs w:val="18"/>
              </w:rPr>
              <w:t>„</w:t>
            </w:r>
            <w:r w:rsidR="00BE133C" w:rsidRPr="005373E3">
              <w:rPr>
                <w:rFonts w:eastAsia="Times New Roman" w:cs="Calibri Light"/>
                <w:iCs/>
                <w:color w:val="000000"/>
                <w:sz w:val="18"/>
                <w:szCs w:val="18"/>
              </w:rPr>
              <w:t>Arka</w:t>
            </w:r>
            <w:r>
              <w:rPr>
                <w:rFonts w:eastAsia="Times New Roman" w:cs="Calibri Light"/>
                <w:iCs/>
                <w:color w:val="000000"/>
                <w:sz w:val="18"/>
                <w:szCs w:val="18"/>
              </w:rPr>
              <w:t>”</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12.07.2016</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94 235,4</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5D26B6">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94 235,4</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36 624,8</w:t>
            </w:r>
            <w:r w:rsidR="005A6833">
              <w:rPr>
                <w:rFonts w:eastAsia="Times New Roman" w:cs="Calibri Light"/>
                <w:iCs/>
                <w:color w:val="000000"/>
                <w:sz w:val="18"/>
                <w:szCs w:val="18"/>
              </w:rPr>
              <w:t xml:space="preserve">  </w:t>
            </w:r>
          </w:p>
        </w:tc>
        <w:tc>
          <w:tcPr>
            <w:tcW w:w="1462" w:type="dxa"/>
            <w:shd w:val="clear" w:color="auto" w:fill="auto"/>
            <w:noWrap/>
            <w:vAlign w:val="bottom"/>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57 610,6</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61,1%</w:t>
            </w:r>
          </w:p>
        </w:tc>
      </w:tr>
      <w:tr w:rsidR="00BE133C" w:rsidRPr="00DF679D" w:rsidTr="005373E3">
        <w:trPr>
          <w:trHeight w:val="238"/>
        </w:trPr>
        <w:tc>
          <w:tcPr>
            <w:tcW w:w="1457" w:type="dxa"/>
            <w:shd w:val="clear" w:color="000000" w:fill="FFFFFF"/>
            <w:vAlign w:val="center"/>
            <w:hideMark/>
          </w:tcPr>
          <w:p w:rsidR="00BE133C" w:rsidRPr="005373E3" w:rsidRDefault="005373E3" w:rsidP="00BE133C">
            <w:pPr>
              <w:spacing w:after="0"/>
              <w:ind w:firstLine="0"/>
              <w:rPr>
                <w:rFonts w:eastAsia="Times New Roman" w:cs="Calibri Light"/>
                <w:iCs/>
                <w:color w:val="000000"/>
                <w:sz w:val="18"/>
                <w:szCs w:val="18"/>
              </w:rPr>
            </w:pPr>
            <w:r>
              <w:rPr>
                <w:rFonts w:eastAsia="Times New Roman" w:cs="Calibri Light"/>
                <w:iCs/>
                <w:color w:val="000000"/>
                <w:sz w:val="18"/>
                <w:szCs w:val="18"/>
              </w:rPr>
              <w:t>„</w:t>
            </w:r>
            <w:r w:rsidR="00BE133C" w:rsidRPr="005373E3">
              <w:rPr>
                <w:rFonts w:eastAsia="Times New Roman" w:cs="Calibri Light"/>
                <w:iCs/>
                <w:color w:val="000000"/>
                <w:sz w:val="18"/>
                <w:szCs w:val="18"/>
              </w:rPr>
              <w:t>Skarbiec</w:t>
            </w:r>
            <w:r>
              <w:rPr>
                <w:rFonts w:eastAsia="Times New Roman" w:cs="Calibri Light"/>
                <w:iCs/>
                <w:color w:val="000000"/>
                <w:sz w:val="18"/>
                <w:szCs w:val="18"/>
              </w:rPr>
              <w:t>”</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29.09.2016</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89 138,1</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89 138,1</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59 185,5</w:t>
            </w:r>
            <w:r w:rsidR="005A6833">
              <w:rPr>
                <w:rFonts w:eastAsia="Times New Roman" w:cs="Calibri Light"/>
                <w:iCs/>
                <w:color w:val="000000"/>
                <w:sz w:val="18"/>
                <w:szCs w:val="18"/>
              </w:rPr>
              <w:t xml:space="preserve">  </w:t>
            </w:r>
          </w:p>
        </w:tc>
        <w:tc>
          <w:tcPr>
            <w:tcW w:w="1462" w:type="dxa"/>
            <w:shd w:val="clear" w:color="auto" w:fill="auto"/>
            <w:noWrap/>
            <w:vAlign w:val="bottom"/>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29 952,6</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33,6%</w:t>
            </w:r>
          </w:p>
        </w:tc>
      </w:tr>
      <w:tr w:rsidR="00BE133C" w:rsidRPr="00DF679D" w:rsidTr="005373E3">
        <w:trPr>
          <w:trHeight w:val="167"/>
        </w:trPr>
        <w:tc>
          <w:tcPr>
            <w:tcW w:w="1457" w:type="dxa"/>
            <w:shd w:val="clear" w:color="000000" w:fill="FFFFFF"/>
            <w:vAlign w:val="center"/>
            <w:hideMark/>
          </w:tcPr>
          <w:p w:rsidR="00BE133C" w:rsidRPr="005373E3" w:rsidRDefault="00BE133C" w:rsidP="00BE133C">
            <w:pPr>
              <w:spacing w:after="0"/>
              <w:ind w:firstLine="0"/>
              <w:rPr>
                <w:rFonts w:eastAsia="Times New Roman" w:cs="Calibri Light"/>
                <w:iCs/>
                <w:color w:val="000000"/>
                <w:sz w:val="18"/>
                <w:szCs w:val="18"/>
              </w:rPr>
            </w:pPr>
            <w:r w:rsidRPr="005373E3">
              <w:rPr>
                <w:rFonts w:eastAsia="Times New Roman" w:cs="Calibri Light"/>
                <w:iCs/>
                <w:color w:val="000000"/>
                <w:sz w:val="18"/>
                <w:szCs w:val="18"/>
              </w:rPr>
              <w:t>Wielkopolska</w:t>
            </w:r>
          </w:p>
        </w:tc>
        <w:tc>
          <w:tcPr>
            <w:tcW w:w="1194" w:type="dxa"/>
            <w:shd w:val="clear" w:color="auto" w:fill="auto"/>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28.02.2017</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285 511,8</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285 508,0</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76 287,5</w:t>
            </w:r>
            <w:r w:rsidR="005A6833">
              <w:rPr>
                <w:rFonts w:eastAsia="Times New Roman" w:cs="Calibri Light"/>
                <w:iCs/>
                <w:color w:val="000000"/>
                <w:sz w:val="18"/>
                <w:szCs w:val="18"/>
              </w:rPr>
              <w:t xml:space="preserve">  </w:t>
            </w:r>
          </w:p>
        </w:tc>
        <w:tc>
          <w:tcPr>
            <w:tcW w:w="1462" w:type="dxa"/>
            <w:shd w:val="clear" w:color="auto" w:fill="auto"/>
            <w:vAlign w:val="center"/>
            <w:hideMark/>
          </w:tcPr>
          <w:p w:rsidR="00BE133C" w:rsidRPr="005373E3" w:rsidRDefault="00BE133C" w:rsidP="00472FF4">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209 220,6</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73,3%</w:t>
            </w:r>
          </w:p>
        </w:tc>
      </w:tr>
      <w:tr w:rsidR="00BE133C" w:rsidRPr="00DF679D" w:rsidTr="005373E3">
        <w:trPr>
          <w:trHeight w:val="238"/>
        </w:trPr>
        <w:tc>
          <w:tcPr>
            <w:tcW w:w="1457" w:type="dxa"/>
            <w:shd w:val="clear" w:color="000000" w:fill="FFFFFF"/>
            <w:vAlign w:val="center"/>
            <w:hideMark/>
          </w:tcPr>
          <w:p w:rsidR="00BE133C" w:rsidRPr="005373E3" w:rsidRDefault="00BE133C" w:rsidP="00BE133C">
            <w:pPr>
              <w:spacing w:after="0"/>
              <w:ind w:firstLine="0"/>
              <w:rPr>
                <w:rFonts w:eastAsia="Times New Roman" w:cs="Calibri Light"/>
                <w:iCs/>
                <w:color w:val="000000"/>
                <w:sz w:val="18"/>
                <w:szCs w:val="18"/>
              </w:rPr>
            </w:pPr>
            <w:r w:rsidRPr="005373E3">
              <w:rPr>
                <w:rFonts w:eastAsia="Times New Roman" w:cs="Calibri Light"/>
                <w:iCs/>
                <w:color w:val="000000"/>
                <w:sz w:val="18"/>
                <w:szCs w:val="18"/>
              </w:rPr>
              <w:t>Twoja</w:t>
            </w:r>
          </w:p>
        </w:tc>
        <w:tc>
          <w:tcPr>
            <w:tcW w:w="1194" w:type="dxa"/>
            <w:shd w:val="clear" w:color="auto" w:fill="auto"/>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19.06.2017</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166 958,2</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166 958,2</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49 252,7</w:t>
            </w:r>
            <w:r w:rsidR="005A6833">
              <w:rPr>
                <w:rFonts w:eastAsia="Times New Roman" w:cs="Calibri Light"/>
                <w:iCs/>
                <w:color w:val="000000"/>
                <w:sz w:val="18"/>
                <w:szCs w:val="18"/>
              </w:rPr>
              <w:t xml:space="preserve">  </w:t>
            </w:r>
          </w:p>
        </w:tc>
        <w:tc>
          <w:tcPr>
            <w:tcW w:w="1462" w:type="dxa"/>
            <w:shd w:val="clear" w:color="auto" w:fill="auto"/>
            <w:noWrap/>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117 705,5</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70,5%</w:t>
            </w:r>
          </w:p>
        </w:tc>
      </w:tr>
      <w:tr w:rsidR="00BE133C" w:rsidRPr="00DF679D" w:rsidTr="005373E3">
        <w:trPr>
          <w:trHeight w:val="139"/>
        </w:trPr>
        <w:tc>
          <w:tcPr>
            <w:tcW w:w="1457" w:type="dxa"/>
            <w:shd w:val="clear" w:color="000000" w:fill="FFFFFF"/>
            <w:vAlign w:val="center"/>
            <w:hideMark/>
          </w:tcPr>
          <w:p w:rsidR="00BE133C" w:rsidRPr="005373E3" w:rsidRDefault="005373E3" w:rsidP="00BE133C">
            <w:pPr>
              <w:spacing w:after="0"/>
              <w:ind w:firstLine="0"/>
              <w:rPr>
                <w:rFonts w:eastAsia="Times New Roman" w:cs="Calibri Light"/>
                <w:iCs/>
                <w:color w:val="000000"/>
                <w:sz w:val="18"/>
                <w:szCs w:val="18"/>
              </w:rPr>
            </w:pPr>
            <w:r>
              <w:rPr>
                <w:rFonts w:eastAsia="Times New Roman" w:cs="Calibri Light"/>
                <w:iCs/>
                <w:color w:val="000000"/>
                <w:sz w:val="18"/>
                <w:szCs w:val="18"/>
              </w:rPr>
              <w:t>„</w:t>
            </w:r>
            <w:r w:rsidR="00BE133C" w:rsidRPr="005373E3">
              <w:rPr>
                <w:rFonts w:eastAsia="Times New Roman" w:cs="Calibri Light"/>
                <w:iCs/>
                <w:color w:val="000000"/>
                <w:sz w:val="18"/>
                <w:szCs w:val="18"/>
              </w:rPr>
              <w:t>Nike</w:t>
            </w:r>
            <w:r>
              <w:rPr>
                <w:rFonts w:eastAsia="Times New Roman" w:cs="Calibri Light"/>
                <w:iCs/>
                <w:color w:val="000000"/>
                <w:sz w:val="18"/>
                <w:szCs w:val="18"/>
              </w:rPr>
              <w:t>”</w:t>
            </w:r>
          </w:p>
        </w:tc>
        <w:tc>
          <w:tcPr>
            <w:tcW w:w="1194" w:type="dxa"/>
            <w:shd w:val="clear" w:color="auto" w:fill="auto"/>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03.07.2017</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115 104,3</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115 104,4</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74 664,6</w:t>
            </w:r>
            <w:r w:rsidR="005A6833">
              <w:rPr>
                <w:rFonts w:eastAsia="Times New Roman" w:cs="Calibri Light"/>
                <w:iCs/>
                <w:color w:val="000000"/>
                <w:sz w:val="18"/>
                <w:szCs w:val="18"/>
              </w:rPr>
              <w:t xml:space="preserve">  </w:t>
            </w:r>
          </w:p>
        </w:tc>
        <w:tc>
          <w:tcPr>
            <w:tcW w:w="1462" w:type="dxa"/>
            <w:shd w:val="clear" w:color="auto" w:fill="auto"/>
            <w:noWrap/>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40 439,7</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35,1%</w:t>
            </w:r>
          </w:p>
        </w:tc>
      </w:tr>
      <w:tr w:rsidR="00BE133C" w:rsidRPr="00DF679D" w:rsidTr="005373E3">
        <w:trPr>
          <w:trHeight w:val="238"/>
        </w:trPr>
        <w:tc>
          <w:tcPr>
            <w:tcW w:w="1457" w:type="dxa"/>
            <w:shd w:val="clear" w:color="000000" w:fill="FFFFFF"/>
            <w:vAlign w:val="center"/>
            <w:hideMark/>
          </w:tcPr>
          <w:p w:rsidR="00BE133C" w:rsidRPr="005373E3" w:rsidRDefault="005373E3" w:rsidP="00BE133C">
            <w:pPr>
              <w:spacing w:after="0"/>
              <w:ind w:firstLine="0"/>
              <w:rPr>
                <w:rFonts w:eastAsia="Times New Roman" w:cs="Calibri Light"/>
                <w:iCs/>
                <w:color w:val="000000"/>
                <w:sz w:val="18"/>
                <w:szCs w:val="18"/>
              </w:rPr>
            </w:pPr>
            <w:r>
              <w:rPr>
                <w:rFonts w:eastAsia="Times New Roman" w:cs="Calibri Light"/>
                <w:iCs/>
                <w:color w:val="000000"/>
                <w:sz w:val="18"/>
                <w:szCs w:val="18"/>
              </w:rPr>
              <w:t>„</w:t>
            </w:r>
            <w:r w:rsidR="00BE133C" w:rsidRPr="005373E3">
              <w:rPr>
                <w:rFonts w:eastAsia="Times New Roman" w:cs="Calibri Light"/>
                <w:iCs/>
                <w:color w:val="000000"/>
                <w:sz w:val="18"/>
                <w:szCs w:val="18"/>
              </w:rPr>
              <w:t>Wybrzeże</w:t>
            </w:r>
            <w:r>
              <w:rPr>
                <w:rFonts w:eastAsia="Times New Roman" w:cs="Calibri Light"/>
                <w:iCs/>
                <w:color w:val="000000"/>
                <w:sz w:val="18"/>
                <w:szCs w:val="18"/>
              </w:rPr>
              <w:t>”</w:t>
            </w:r>
          </w:p>
        </w:tc>
        <w:tc>
          <w:tcPr>
            <w:tcW w:w="1194" w:type="dxa"/>
            <w:shd w:val="clear" w:color="000000" w:fill="FFFFFF"/>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21.11.2017</w:t>
            </w:r>
          </w:p>
        </w:tc>
        <w:tc>
          <w:tcPr>
            <w:tcW w:w="1247"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122 341,4</w:t>
            </w:r>
            <w:r w:rsidR="005A6833">
              <w:rPr>
                <w:rFonts w:eastAsia="Times New Roman" w:cs="Calibri Light"/>
                <w:iCs/>
                <w:color w:val="000000"/>
                <w:sz w:val="18"/>
                <w:szCs w:val="18"/>
              </w:rPr>
              <w:t xml:space="preserve">  </w:t>
            </w:r>
          </w:p>
        </w:tc>
        <w:tc>
          <w:tcPr>
            <w:tcW w:w="1359"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122 340,3</w:t>
            </w:r>
            <w:r w:rsidR="005A6833">
              <w:rPr>
                <w:rFonts w:eastAsia="Times New Roman" w:cs="Calibri Light"/>
                <w:iCs/>
                <w:color w:val="000000"/>
                <w:sz w:val="18"/>
                <w:szCs w:val="18"/>
              </w:rPr>
              <w:t xml:space="preserve">  </w:t>
            </w:r>
          </w:p>
        </w:tc>
        <w:tc>
          <w:tcPr>
            <w:tcW w:w="1563" w:type="dxa"/>
            <w:shd w:val="clear" w:color="auto" w:fill="auto"/>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71 427,3</w:t>
            </w:r>
            <w:r w:rsidR="005A6833">
              <w:rPr>
                <w:rFonts w:eastAsia="Times New Roman" w:cs="Calibri Light"/>
                <w:iCs/>
                <w:color w:val="000000"/>
                <w:sz w:val="18"/>
                <w:szCs w:val="18"/>
              </w:rPr>
              <w:t xml:space="preserve">  </w:t>
            </w:r>
          </w:p>
        </w:tc>
        <w:tc>
          <w:tcPr>
            <w:tcW w:w="1462" w:type="dxa"/>
            <w:shd w:val="clear" w:color="auto" w:fill="auto"/>
            <w:noWrap/>
            <w:vAlign w:val="center"/>
            <w:hideMark/>
          </w:tcPr>
          <w:p w:rsidR="00BE133C" w:rsidRPr="005373E3" w:rsidRDefault="00BE133C" w:rsidP="00BE133C">
            <w:pPr>
              <w:spacing w:after="0"/>
              <w:ind w:firstLine="0"/>
              <w:jc w:val="right"/>
              <w:rPr>
                <w:rFonts w:eastAsia="Times New Roman" w:cs="Calibri Light"/>
                <w:iCs/>
                <w:color w:val="000000"/>
                <w:sz w:val="18"/>
                <w:szCs w:val="18"/>
              </w:rPr>
            </w:pPr>
            <w:r w:rsidRPr="005373E3">
              <w:rPr>
                <w:rFonts w:eastAsia="Times New Roman" w:cs="Calibri Light"/>
                <w:iCs/>
                <w:color w:val="000000"/>
                <w:sz w:val="18"/>
                <w:szCs w:val="18"/>
              </w:rPr>
              <w:t>50 912,9</w:t>
            </w:r>
            <w:r w:rsidR="005A6833">
              <w:rPr>
                <w:rFonts w:eastAsia="Times New Roman" w:cs="Calibri Light"/>
                <w:iCs/>
                <w:color w:val="000000"/>
                <w:sz w:val="18"/>
                <w:szCs w:val="18"/>
              </w:rPr>
              <w:t xml:space="preserve">  </w:t>
            </w:r>
          </w:p>
        </w:tc>
        <w:tc>
          <w:tcPr>
            <w:tcW w:w="1075" w:type="dxa"/>
            <w:shd w:val="clear" w:color="auto" w:fill="auto"/>
            <w:noWrap/>
            <w:vAlign w:val="center"/>
            <w:hideMark/>
          </w:tcPr>
          <w:p w:rsidR="00BE133C" w:rsidRPr="005373E3" w:rsidRDefault="00BE133C" w:rsidP="00BE133C">
            <w:pPr>
              <w:spacing w:after="0"/>
              <w:ind w:firstLine="0"/>
              <w:jc w:val="center"/>
              <w:rPr>
                <w:rFonts w:eastAsia="Times New Roman" w:cs="Calibri Light"/>
                <w:iCs/>
                <w:color w:val="000000"/>
                <w:sz w:val="18"/>
                <w:szCs w:val="18"/>
              </w:rPr>
            </w:pPr>
            <w:r w:rsidRPr="005373E3">
              <w:rPr>
                <w:rFonts w:eastAsia="Times New Roman" w:cs="Calibri Light"/>
                <w:iCs/>
                <w:color w:val="000000"/>
                <w:sz w:val="18"/>
                <w:szCs w:val="18"/>
              </w:rPr>
              <w:t>41,6%</w:t>
            </w:r>
          </w:p>
        </w:tc>
      </w:tr>
      <w:tr w:rsidR="00BE133C" w:rsidRPr="00DF679D" w:rsidTr="005373E3">
        <w:trPr>
          <w:trHeight w:val="147"/>
        </w:trPr>
        <w:tc>
          <w:tcPr>
            <w:tcW w:w="2651" w:type="dxa"/>
            <w:gridSpan w:val="2"/>
            <w:shd w:val="clear" w:color="auto" w:fill="DBE5F1"/>
            <w:vAlign w:val="center"/>
            <w:hideMark/>
          </w:tcPr>
          <w:p w:rsidR="00BE133C" w:rsidRPr="005373E3" w:rsidRDefault="00BE133C" w:rsidP="00BE133C">
            <w:pPr>
              <w:spacing w:after="0"/>
              <w:ind w:firstLine="0"/>
              <w:jc w:val="center"/>
              <w:rPr>
                <w:rFonts w:eastAsia="Times New Roman" w:cs="Calibri Light"/>
                <w:b/>
                <w:bCs/>
                <w:iCs/>
                <w:color w:val="000000"/>
                <w:sz w:val="18"/>
                <w:szCs w:val="18"/>
              </w:rPr>
            </w:pPr>
            <w:r w:rsidRPr="005373E3">
              <w:rPr>
                <w:rFonts w:eastAsia="Times New Roman" w:cs="Calibri Light"/>
                <w:b/>
                <w:bCs/>
                <w:iCs/>
                <w:color w:val="000000"/>
                <w:sz w:val="18"/>
                <w:szCs w:val="18"/>
              </w:rPr>
              <w:t>Razem</w:t>
            </w:r>
          </w:p>
        </w:tc>
        <w:tc>
          <w:tcPr>
            <w:tcW w:w="1247" w:type="dxa"/>
            <w:shd w:val="clear" w:color="auto" w:fill="DBE5F1"/>
            <w:vAlign w:val="center"/>
            <w:hideMark/>
          </w:tcPr>
          <w:p w:rsidR="00BE133C" w:rsidRPr="00DF679D" w:rsidRDefault="00BE133C" w:rsidP="00BE133C">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4 429 883,8</w:t>
            </w:r>
            <w:r w:rsidR="005A6833">
              <w:rPr>
                <w:rFonts w:eastAsia="Times New Roman" w:cs="Calibri Light"/>
                <w:b/>
                <w:bCs/>
                <w:color w:val="000000"/>
                <w:sz w:val="18"/>
                <w:szCs w:val="18"/>
              </w:rPr>
              <w:t xml:space="preserve">  </w:t>
            </w:r>
          </w:p>
        </w:tc>
        <w:tc>
          <w:tcPr>
            <w:tcW w:w="1359" w:type="dxa"/>
            <w:shd w:val="clear" w:color="auto" w:fill="DBE5F1"/>
            <w:vAlign w:val="center"/>
            <w:hideMark/>
          </w:tcPr>
          <w:p w:rsidR="00BE133C" w:rsidRPr="00DF679D" w:rsidRDefault="00BE133C" w:rsidP="00BE133C">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4 397 475,7</w:t>
            </w:r>
            <w:r w:rsidR="005A6833">
              <w:rPr>
                <w:rFonts w:eastAsia="Times New Roman" w:cs="Calibri Light"/>
                <w:b/>
                <w:bCs/>
                <w:color w:val="000000"/>
                <w:sz w:val="18"/>
                <w:szCs w:val="18"/>
              </w:rPr>
              <w:t xml:space="preserve">  </w:t>
            </w:r>
          </w:p>
        </w:tc>
        <w:tc>
          <w:tcPr>
            <w:tcW w:w="1563" w:type="dxa"/>
            <w:shd w:val="clear" w:color="auto" w:fill="DBE5F1"/>
            <w:vAlign w:val="center"/>
            <w:hideMark/>
          </w:tcPr>
          <w:p w:rsidR="00BE133C" w:rsidRPr="00DF679D" w:rsidRDefault="00BE133C" w:rsidP="00472FF4">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3 308 600,6</w:t>
            </w:r>
            <w:r w:rsidR="005A6833">
              <w:rPr>
                <w:rFonts w:eastAsia="Times New Roman" w:cs="Calibri Light"/>
                <w:b/>
                <w:bCs/>
                <w:color w:val="000000"/>
                <w:sz w:val="18"/>
                <w:szCs w:val="18"/>
              </w:rPr>
              <w:t xml:space="preserve"> </w:t>
            </w:r>
          </w:p>
        </w:tc>
        <w:tc>
          <w:tcPr>
            <w:tcW w:w="1462" w:type="dxa"/>
            <w:shd w:val="clear" w:color="auto" w:fill="DBE5F1"/>
            <w:vAlign w:val="center"/>
            <w:hideMark/>
          </w:tcPr>
          <w:p w:rsidR="00BE133C" w:rsidRPr="00DF679D" w:rsidRDefault="00BE133C" w:rsidP="00BE133C">
            <w:pPr>
              <w:spacing w:after="0"/>
              <w:ind w:firstLine="0"/>
              <w:jc w:val="right"/>
              <w:rPr>
                <w:rFonts w:eastAsia="Times New Roman" w:cs="Calibri Light"/>
                <w:b/>
                <w:bCs/>
                <w:color w:val="000000"/>
                <w:sz w:val="18"/>
                <w:szCs w:val="18"/>
              </w:rPr>
            </w:pPr>
            <w:r w:rsidRPr="00DF679D">
              <w:rPr>
                <w:rFonts w:eastAsia="Times New Roman" w:cs="Calibri Light"/>
                <w:b/>
                <w:bCs/>
                <w:color w:val="000000"/>
                <w:sz w:val="18"/>
                <w:szCs w:val="18"/>
              </w:rPr>
              <w:t xml:space="preserve">1 088 875,1 </w:t>
            </w:r>
          </w:p>
        </w:tc>
        <w:tc>
          <w:tcPr>
            <w:tcW w:w="1075" w:type="dxa"/>
            <w:shd w:val="clear" w:color="auto" w:fill="DBE5F1"/>
            <w:noWrap/>
            <w:vAlign w:val="center"/>
            <w:hideMark/>
          </w:tcPr>
          <w:p w:rsidR="00BE133C" w:rsidRPr="00DF679D" w:rsidRDefault="00BE133C" w:rsidP="00BE133C">
            <w:pPr>
              <w:spacing w:after="0"/>
              <w:ind w:firstLine="0"/>
              <w:jc w:val="center"/>
              <w:rPr>
                <w:rFonts w:eastAsia="Times New Roman" w:cs="Calibri Light"/>
                <w:b/>
                <w:bCs/>
                <w:i/>
                <w:iCs/>
                <w:color w:val="000000"/>
                <w:sz w:val="18"/>
                <w:szCs w:val="18"/>
              </w:rPr>
            </w:pPr>
            <w:r w:rsidRPr="005D26B6">
              <w:rPr>
                <w:rFonts w:eastAsia="Times New Roman" w:cs="Calibri Light"/>
                <w:b/>
                <w:bCs/>
                <w:iCs/>
                <w:color w:val="000000"/>
                <w:sz w:val="18"/>
                <w:szCs w:val="18"/>
              </w:rPr>
              <w:t>24</w:t>
            </w:r>
            <w:r w:rsidRPr="00DF679D">
              <w:rPr>
                <w:rFonts w:eastAsia="Times New Roman" w:cs="Calibri Light"/>
                <w:b/>
                <w:bCs/>
                <w:i/>
                <w:iCs/>
                <w:color w:val="000000"/>
                <w:sz w:val="18"/>
                <w:szCs w:val="18"/>
              </w:rPr>
              <w:t>,</w:t>
            </w:r>
            <w:r w:rsidRPr="005D26B6">
              <w:rPr>
                <w:rFonts w:eastAsia="Times New Roman" w:cs="Calibri Light"/>
                <w:b/>
                <w:bCs/>
                <w:iCs/>
                <w:color w:val="000000"/>
                <w:sz w:val="18"/>
                <w:szCs w:val="18"/>
              </w:rPr>
              <w:t>8%</w:t>
            </w:r>
          </w:p>
        </w:tc>
      </w:tr>
    </w:tbl>
    <w:p w:rsidR="007412DC" w:rsidRPr="00472FF4" w:rsidRDefault="007412DC" w:rsidP="00067AC1">
      <w:pPr>
        <w:pStyle w:val="Akapitzlist"/>
        <w:keepNext/>
        <w:spacing w:before="120" w:after="120"/>
        <w:ind w:left="357" w:firstLine="0"/>
        <w:contextualSpacing w:val="0"/>
        <w:jc w:val="left"/>
        <w:outlineLvl w:val="3"/>
        <w:rPr>
          <w:rFonts w:eastAsia="Times New Roman"/>
          <w:bCs/>
          <w:i/>
          <w:szCs w:val="28"/>
          <w:u w:val="single"/>
          <w:lang w:eastAsia="en-US"/>
        </w:rPr>
      </w:pPr>
      <w:r w:rsidRPr="00472FF4">
        <w:rPr>
          <w:rFonts w:eastAsia="Times New Roman"/>
          <w:bCs/>
          <w:i/>
          <w:szCs w:val="28"/>
          <w:u w:val="single"/>
          <w:lang w:eastAsia="en-US"/>
        </w:rPr>
        <w:t xml:space="preserve">Zaspokojenie roszczeń Funduszu </w:t>
      </w:r>
    </w:p>
    <w:p w:rsidR="007412DC" w:rsidRPr="00DF679D" w:rsidRDefault="00ED28DB" w:rsidP="00472FF4">
      <w:pPr>
        <w:pStyle w:val="Teksttreci20"/>
        <w:shd w:val="clear" w:color="auto" w:fill="auto"/>
        <w:spacing w:after="120" w:line="240" w:lineRule="auto"/>
        <w:ind w:firstLine="357"/>
        <w:rPr>
          <w:rFonts w:cs="Calibri Light"/>
          <w:lang w:bidi="pl-PL"/>
        </w:rPr>
      </w:pPr>
      <w:r w:rsidRPr="00DF679D">
        <w:rPr>
          <w:rFonts w:cs="Calibri Light"/>
          <w:lang w:bidi="pl-PL"/>
        </w:rPr>
        <w:t xml:space="preserve">W </w:t>
      </w:r>
      <w:r w:rsidR="007412DC" w:rsidRPr="00DF679D">
        <w:rPr>
          <w:rFonts w:cs="Calibri Light"/>
          <w:lang w:bidi="pl-PL"/>
        </w:rPr>
        <w:t>toku prowadzonych postępowań upadłościowych Fundusz do końca I</w:t>
      </w:r>
      <w:r w:rsidR="00EA3D8E" w:rsidRPr="00DF679D">
        <w:rPr>
          <w:rFonts w:cs="Calibri Light"/>
          <w:lang w:bidi="pl-PL"/>
        </w:rPr>
        <w:t>I</w:t>
      </w:r>
      <w:r w:rsidR="007412DC" w:rsidRPr="00DF679D">
        <w:rPr>
          <w:rFonts w:cs="Calibri Light"/>
          <w:lang w:bidi="pl-PL"/>
        </w:rPr>
        <w:t>I kwartału br. odzyskał łącznie 1</w:t>
      </w:r>
      <w:r w:rsidR="00EA3D8E" w:rsidRPr="00DF679D">
        <w:rPr>
          <w:rFonts w:cs="Calibri Light"/>
          <w:lang w:bidi="pl-PL"/>
        </w:rPr>
        <w:t> </w:t>
      </w:r>
      <w:r w:rsidR="007412DC" w:rsidRPr="00DF679D">
        <w:rPr>
          <w:rFonts w:cs="Calibri Light"/>
          <w:lang w:bidi="pl-PL"/>
        </w:rPr>
        <w:t>16</w:t>
      </w:r>
      <w:r w:rsidR="00EA3D8E" w:rsidRPr="00DF679D">
        <w:rPr>
          <w:rFonts w:cs="Calibri Light"/>
          <w:lang w:bidi="pl-PL"/>
        </w:rPr>
        <w:t>6</w:t>
      </w:r>
      <w:r w:rsidR="00D74189" w:rsidRPr="00DF679D">
        <w:rPr>
          <w:rFonts w:cs="Calibri Light"/>
          <w:lang w:bidi="pl-PL"/>
        </w:rPr>
        <w:t> 130,8</w:t>
      </w:r>
      <w:r w:rsidR="007412DC" w:rsidRPr="00DF679D">
        <w:rPr>
          <w:rFonts w:cs="Calibri Light"/>
          <w:lang w:bidi="pl-PL"/>
        </w:rPr>
        <w:t xml:space="preserve"> tys. zł, co stanowi 17,</w:t>
      </w:r>
      <w:r w:rsidR="00D74189" w:rsidRPr="00DF679D">
        <w:rPr>
          <w:rFonts w:cs="Calibri Light"/>
          <w:lang w:bidi="pl-PL"/>
        </w:rPr>
        <w:t>7</w:t>
      </w:r>
      <w:r w:rsidR="007412DC" w:rsidRPr="00DF679D">
        <w:rPr>
          <w:rFonts w:cs="Calibri Light"/>
          <w:lang w:bidi="pl-PL"/>
        </w:rPr>
        <w:t>% wierzytelności BFG z tytułu wypłat środków gwarantowanych dochodzonych w postępowaniach upadłościowych.</w:t>
      </w:r>
    </w:p>
    <w:p w:rsidR="009D5919" w:rsidRPr="00DF679D" w:rsidRDefault="009D5919" w:rsidP="00472FF4">
      <w:pPr>
        <w:pStyle w:val="Teksttreci20"/>
        <w:shd w:val="clear" w:color="auto" w:fill="auto"/>
        <w:spacing w:after="120" w:line="240" w:lineRule="auto"/>
        <w:ind w:firstLine="357"/>
        <w:rPr>
          <w:rFonts w:cs="Calibri Light"/>
          <w:lang w:bidi="pl-PL"/>
        </w:rPr>
      </w:pPr>
      <w:r w:rsidRPr="00DF679D">
        <w:rPr>
          <w:rFonts w:cs="Calibri Light"/>
          <w:lang w:bidi="pl-PL"/>
        </w:rPr>
        <w:t>Na</w:t>
      </w:r>
      <w:r w:rsidR="005A6833">
        <w:rPr>
          <w:rFonts w:cs="Calibri Light"/>
          <w:lang w:bidi="pl-PL"/>
        </w:rPr>
        <w:t xml:space="preserve"> </w:t>
      </w:r>
      <w:r w:rsidRPr="00DF679D">
        <w:rPr>
          <w:rFonts w:cs="Calibri Light"/>
          <w:lang w:bidi="pl-PL"/>
        </w:rPr>
        <w:t>dzień 30 września 2022 r. złożone zostały plany podziału</w:t>
      </w:r>
      <w:r w:rsidR="00112E5D" w:rsidRPr="00DF679D">
        <w:rPr>
          <w:rFonts w:cs="Calibri Light"/>
          <w:lang w:bidi="pl-PL"/>
        </w:rPr>
        <w:t>,</w:t>
      </w:r>
      <w:r w:rsidRPr="00DF679D">
        <w:rPr>
          <w:rFonts w:cs="Calibri Light"/>
          <w:lang w:bidi="pl-PL"/>
        </w:rPr>
        <w:t xml:space="preserve"> których realizacja spodziewana jest w IV kwartale</w:t>
      </w:r>
      <w:r w:rsidR="0042182C" w:rsidRPr="00DF679D">
        <w:rPr>
          <w:rFonts w:cs="Calibri Light"/>
          <w:lang w:bidi="pl-PL"/>
        </w:rPr>
        <w:t>:</w:t>
      </w:r>
    </w:p>
    <w:p w:rsidR="009D5919" w:rsidRPr="00DF679D" w:rsidRDefault="009D5919" w:rsidP="008004CF">
      <w:pPr>
        <w:pStyle w:val="Akapitzlist"/>
        <w:numPr>
          <w:ilvl w:val="0"/>
          <w:numId w:val="7"/>
        </w:numPr>
        <w:spacing w:after="120"/>
        <w:ind w:left="714" w:hanging="357"/>
        <w:rPr>
          <w:rFonts w:cs="Calibri Light"/>
        </w:rPr>
      </w:pPr>
      <w:r w:rsidRPr="00F31178">
        <w:rPr>
          <w:rFonts w:cs="Calibri Light"/>
          <w:b/>
          <w:lang w:bidi="pl-PL"/>
        </w:rPr>
        <w:t>BS w Nadarzynie</w:t>
      </w:r>
      <w:r w:rsidRPr="00DF679D">
        <w:rPr>
          <w:rFonts w:cs="Calibri Light"/>
          <w:lang w:bidi="pl-PL"/>
        </w:rPr>
        <w:t xml:space="preserve"> – Syndyk złożył III częściowy plan podziału funduszów masy upadłości</w:t>
      </w:r>
      <w:r w:rsidR="002744C0">
        <w:rPr>
          <w:rFonts w:cs="Calibri Light"/>
          <w:lang w:bidi="pl-PL"/>
        </w:rPr>
        <w:t>;</w:t>
      </w:r>
      <w:r w:rsidRPr="00DF679D">
        <w:rPr>
          <w:rFonts w:cs="Calibri Light"/>
          <w:lang w:bidi="pl-PL"/>
        </w:rPr>
        <w:t xml:space="preserve"> Fu</w:t>
      </w:r>
      <w:r w:rsidR="00401733" w:rsidRPr="00DF679D">
        <w:rPr>
          <w:rFonts w:cs="Calibri Light"/>
          <w:lang w:bidi="pl-PL"/>
        </w:rPr>
        <w:t>ndusz otrzyma kwotę 3 001 918,64</w:t>
      </w:r>
      <w:r w:rsidRPr="00DF679D">
        <w:rPr>
          <w:rFonts w:cs="Calibri Light"/>
          <w:lang w:bidi="pl-PL"/>
        </w:rPr>
        <w:t xml:space="preserve"> zł</w:t>
      </w:r>
      <w:r w:rsidR="002744C0">
        <w:rPr>
          <w:rFonts w:cs="Calibri Light"/>
          <w:lang w:bidi="pl-PL"/>
        </w:rPr>
        <w:t>.</w:t>
      </w:r>
    </w:p>
    <w:p w:rsidR="009D5919" w:rsidRPr="00DF679D" w:rsidRDefault="009D5919" w:rsidP="008004CF">
      <w:pPr>
        <w:pStyle w:val="Akapitzlist"/>
        <w:numPr>
          <w:ilvl w:val="0"/>
          <w:numId w:val="7"/>
        </w:numPr>
        <w:spacing w:after="120"/>
        <w:ind w:left="714" w:hanging="357"/>
        <w:rPr>
          <w:rFonts w:cs="Calibri Light"/>
        </w:rPr>
      </w:pPr>
      <w:r w:rsidRPr="00F31178">
        <w:rPr>
          <w:rFonts w:cs="Calibri Light"/>
          <w:b/>
          <w:lang w:bidi="pl-PL"/>
        </w:rPr>
        <w:t>SKOK Polska</w:t>
      </w:r>
      <w:r w:rsidRPr="00DF679D">
        <w:rPr>
          <w:rFonts w:cs="Calibri Light"/>
          <w:lang w:bidi="pl-PL"/>
        </w:rPr>
        <w:t xml:space="preserve"> </w:t>
      </w:r>
      <w:r w:rsidR="002744C0">
        <w:rPr>
          <w:rFonts w:cs="Calibri Light"/>
          <w:lang w:bidi="pl-PL"/>
        </w:rPr>
        <w:t>–</w:t>
      </w:r>
      <w:r w:rsidRPr="00DF679D">
        <w:rPr>
          <w:rFonts w:cs="Calibri Light"/>
          <w:lang w:bidi="pl-PL"/>
        </w:rPr>
        <w:t xml:space="preserve"> Syndyk</w:t>
      </w:r>
      <w:r w:rsidR="002744C0">
        <w:rPr>
          <w:rFonts w:cs="Calibri Light"/>
          <w:lang w:bidi="pl-PL"/>
        </w:rPr>
        <w:t xml:space="preserve"> </w:t>
      </w:r>
      <w:r w:rsidRPr="00DF679D">
        <w:rPr>
          <w:rFonts w:cs="Calibri Light"/>
          <w:lang w:bidi="pl-PL"/>
        </w:rPr>
        <w:t>złożył V częściowy plan podziału funduszów masy upadłości</w:t>
      </w:r>
      <w:r w:rsidR="002744C0">
        <w:rPr>
          <w:rFonts w:cs="Calibri Light"/>
          <w:lang w:bidi="pl-PL"/>
        </w:rPr>
        <w:t>;</w:t>
      </w:r>
      <w:r w:rsidRPr="00DF679D">
        <w:rPr>
          <w:rFonts w:cs="Calibri Light"/>
          <w:lang w:bidi="pl-PL"/>
        </w:rPr>
        <w:t xml:space="preserve"> Fu</w:t>
      </w:r>
      <w:r w:rsidR="00401733" w:rsidRPr="00DF679D">
        <w:rPr>
          <w:rFonts w:cs="Calibri Light"/>
          <w:lang w:bidi="pl-PL"/>
        </w:rPr>
        <w:t>ndusz otrzyma kwotę 3 034 927,07</w:t>
      </w:r>
      <w:r w:rsidRPr="00DF679D">
        <w:rPr>
          <w:rFonts w:cs="Calibri Light"/>
          <w:lang w:bidi="pl-PL"/>
        </w:rPr>
        <w:t xml:space="preserve"> zł</w:t>
      </w:r>
      <w:r w:rsidR="002744C0">
        <w:rPr>
          <w:rFonts w:cs="Calibri Light"/>
          <w:lang w:bidi="pl-PL"/>
        </w:rPr>
        <w:t>,</w:t>
      </w:r>
    </w:p>
    <w:p w:rsidR="00091337" w:rsidRPr="00DF679D" w:rsidRDefault="009D5919" w:rsidP="008004CF">
      <w:pPr>
        <w:pStyle w:val="Akapitzlist"/>
        <w:numPr>
          <w:ilvl w:val="0"/>
          <w:numId w:val="7"/>
        </w:numPr>
        <w:spacing w:after="120"/>
        <w:ind w:left="714" w:hanging="357"/>
        <w:rPr>
          <w:rFonts w:cs="Calibri Light"/>
        </w:rPr>
      </w:pPr>
      <w:r w:rsidRPr="00F31178">
        <w:rPr>
          <w:rFonts w:cs="Calibri Light"/>
          <w:b/>
          <w:lang w:bidi="pl-PL"/>
        </w:rPr>
        <w:t>Twoja SKOK</w:t>
      </w:r>
      <w:r w:rsidR="002744C0">
        <w:rPr>
          <w:rFonts w:cs="Calibri Light"/>
          <w:lang w:bidi="pl-PL"/>
        </w:rPr>
        <w:t xml:space="preserve"> –</w:t>
      </w:r>
      <w:r w:rsidR="00091337" w:rsidRPr="00DF679D">
        <w:rPr>
          <w:rFonts w:cs="Calibri Light"/>
          <w:lang w:bidi="pl-PL"/>
        </w:rPr>
        <w:t xml:space="preserve"> </w:t>
      </w:r>
      <w:r w:rsidR="00074ED6" w:rsidRPr="00DF679D">
        <w:rPr>
          <w:rFonts w:cs="Calibri Light"/>
          <w:lang w:bidi="pl-PL"/>
        </w:rPr>
        <w:t>Syndyk</w:t>
      </w:r>
      <w:r w:rsidR="002744C0">
        <w:rPr>
          <w:rFonts w:cs="Calibri Light"/>
          <w:lang w:bidi="pl-PL"/>
        </w:rPr>
        <w:t xml:space="preserve"> </w:t>
      </w:r>
      <w:r w:rsidR="00074ED6" w:rsidRPr="00DF679D">
        <w:rPr>
          <w:rFonts w:cs="Calibri Light"/>
          <w:lang w:bidi="pl-PL"/>
        </w:rPr>
        <w:t xml:space="preserve">złożył </w:t>
      </w:r>
      <w:r w:rsidR="00091337" w:rsidRPr="00DF679D">
        <w:rPr>
          <w:rFonts w:cs="Calibri Light"/>
          <w:lang w:bidi="pl-PL"/>
        </w:rPr>
        <w:t xml:space="preserve">XIX </w:t>
      </w:r>
      <w:r w:rsidR="009C178A" w:rsidRPr="00DF679D">
        <w:rPr>
          <w:rFonts w:cs="Calibri Light"/>
          <w:lang w:bidi="pl-PL"/>
        </w:rPr>
        <w:t xml:space="preserve">częściowy </w:t>
      </w:r>
      <w:r w:rsidR="00091337" w:rsidRPr="00DF679D">
        <w:rPr>
          <w:rFonts w:cs="Calibri Light"/>
          <w:lang w:bidi="pl-PL"/>
        </w:rPr>
        <w:t>plan podziału</w:t>
      </w:r>
      <w:r w:rsidR="002744C0">
        <w:rPr>
          <w:rFonts w:cs="Calibri Light"/>
          <w:lang w:bidi="pl-PL"/>
        </w:rPr>
        <w:t>;</w:t>
      </w:r>
      <w:r w:rsidR="009C178A" w:rsidRPr="00DF679D">
        <w:rPr>
          <w:rFonts w:cs="Calibri Light"/>
          <w:lang w:bidi="pl-PL"/>
        </w:rPr>
        <w:t xml:space="preserve"> Fundusz</w:t>
      </w:r>
      <w:r w:rsidR="00091337" w:rsidRPr="00DF679D">
        <w:rPr>
          <w:rFonts w:cs="Calibri Light"/>
          <w:lang w:bidi="pl-PL"/>
        </w:rPr>
        <w:t xml:space="preserve"> </w:t>
      </w:r>
      <w:r w:rsidR="009C178A" w:rsidRPr="00DF679D">
        <w:rPr>
          <w:rFonts w:cs="Calibri Light"/>
          <w:lang w:bidi="pl-PL"/>
        </w:rPr>
        <w:t xml:space="preserve">otrzyma </w:t>
      </w:r>
      <w:r w:rsidR="00091337" w:rsidRPr="00DF679D">
        <w:rPr>
          <w:rFonts w:cs="Calibri Light"/>
          <w:lang w:bidi="pl-PL"/>
        </w:rPr>
        <w:t>kwot</w:t>
      </w:r>
      <w:r w:rsidR="009C178A" w:rsidRPr="00DF679D">
        <w:rPr>
          <w:rFonts w:cs="Calibri Light"/>
          <w:lang w:bidi="pl-PL"/>
        </w:rPr>
        <w:t>ę</w:t>
      </w:r>
      <w:r w:rsidR="00091337" w:rsidRPr="00DF679D">
        <w:rPr>
          <w:rFonts w:cs="Calibri Light"/>
          <w:lang w:bidi="pl-PL"/>
        </w:rPr>
        <w:t xml:space="preserve"> 1 007 749,17 zł</w:t>
      </w:r>
      <w:r w:rsidR="002744C0">
        <w:rPr>
          <w:rFonts w:cs="Calibri Light"/>
          <w:lang w:bidi="pl-PL"/>
        </w:rPr>
        <w:t>,</w:t>
      </w:r>
    </w:p>
    <w:p w:rsidR="009D5919" w:rsidRPr="00DF679D" w:rsidRDefault="009D5919" w:rsidP="008004CF">
      <w:pPr>
        <w:pStyle w:val="Akapitzlist"/>
        <w:numPr>
          <w:ilvl w:val="0"/>
          <w:numId w:val="7"/>
        </w:numPr>
        <w:spacing w:after="120"/>
        <w:ind w:left="714" w:hanging="357"/>
        <w:rPr>
          <w:rFonts w:cs="Calibri Light"/>
        </w:rPr>
      </w:pPr>
      <w:r w:rsidRPr="00F31178">
        <w:rPr>
          <w:rFonts w:cs="Calibri Light"/>
          <w:b/>
          <w:lang w:bidi="pl-PL"/>
        </w:rPr>
        <w:t>SKOK Wybrzeże</w:t>
      </w:r>
      <w:r w:rsidRPr="00DF679D">
        <w:rPr>
          <w:rFonts w:cs="Calibri Light"/>
          <w:lang w:bidi="pl-PL"/>
        </w:rPr>
        <w:t xml:space="preserve"> </w:t>
      </w:r>
      <w:r w:rsidR="00091337" w:rsidRPr="00DF679D">
        <w:rPr>
          <w:rFonts w:cs="Calibri Light"/>
          <w:lang w:bidi="pl-PL"/>
        </w:rPr>
        <w:t xml:space="preserve">– </w:t>
      </w:r>
      <w:r w:rsidR="00074ED6" w:rsidRPr="00DF679D">
        <w:rPr>
          <w:rFonts w:cs="Calibri Light"/>
          <w:lang w:bidi="pl-PL"/>
        </w:rPr>
        <w:t xml:space="preserve">Syndyk złożył </w:t>
      </w:r>
      <w:r w:rsidR="00091337" w:rsidRPr="00DF679D">
        <w:rPr>
          <w:rFonts w:cs="Calibri Light"/>
          <w:lang w:bidi="pl-PL"/>
        </w:rPr>
        <w:t xml:space="preserve">III </w:t>
      </w:r>
      <w:r w:rsidR="009C178A" w:rsidRPr="00DF679D">
        <w:rPr>
          <w:rFonts w:cs="Calibri Light"/>
          <w:lang w:bidi="pl-PL"/>
        </w:rPr>
        <w:t xml:space="preserve">częściowy </w:t>
      </w:r>
      <w:r w:rsidR="00091337" w:rsidRPr="00DF679D">
        <w:rPr>
          <w:rFonts w:cs="Calibri Light"/>
          <w:lang w:bidi="pl-PL"/>
        </w:rPr>
        <w:t>plan podziału</w:t>
      </w:r>
      <w:r w:rsidR="002744C0">
        <w:rPr>
          <w:rFonts w:cs="Calibri Light"/>
          <w:lang w:bidi="pl-PL"/>
        </w:rPr>
        <w:t>;</w:t>
      </w:r>
      <w:r w:rsidR="009C178A" w:rsidRPr="00DF679D">
        <w:rPr>
          <w:rFonts w:cs="Calibri Light"/>
          <w:lang w:bidi="pl-PL"/>
        </w:rPr>
        <w:t xml:space="preserve"> Fundusz otrzyma</w:t>
      </w:r>
      <w:r w:rsidR="00091337" w:rsidRPr="00DF679D">
        <w:rPr>
          <w:rFonts w:cs="Calibri Light"/>
          <w:lang w:bidi="pl-PL"/>
        </w:rPr>
        <w:t xml:space="preserve"> kwot</w:t>
      </w:r>
      <w:r w:rsidR="009C178A" w:rsidRPr="00DF679D">
        <w:rPr>
          <w:rFonts w:cs="Calibri Light"/>
          <w:lang w:bidi="pl-PL"/>
        </w:rPr>
        <w:t>ę</w:t>
      </w:r>
      <w:r w:rsidR="00091337" w:rsidRPr="00DF679D">
        <w:rPr>
          <w:rFonts w:cs="Calibri Light"/>
          <w:lang w:bidi="pl-PL"/>
        </w:rPr>
        <w:t xml:space="preserve"> 5 490 405,44 zł</w:t>
      </w:r>
      <w:r w:rsidR="002744C0">
        <w:rPr>
          <w:rFonts w:cs="Calibri Light"/>
          <w:lang w:bidi="pl-PL"/>
        </w:rPr>
        <w:t>,</w:t>
      </w:r>
    </w:p>
    <w:p w:rsidR="00074ED6" w:rsidRPr="00DF679D" w:rsidRDefault="00074ED6" w:rsidP="008004CF">
      <w:pPr>
        <w:pStyle w:val="Akapitzlist"/>
        <w:numPr>
          <w:ilvl w:val="0"/>
          <w:numId w:val="7"/>
        </w:numPr>
        <w:spacing w:after="0"/>
        <w:ind w:left="714" w:hanging="357"/>
        <w:contextualSpacing w:val="0"/>
        <w:rPr>
          <w:rFonts w:cs="Calibri Light"/>
        </w:rPr>
      </w:pPr>
      <w:r w:rsidRPr="00F31178">
        <w:rPr>
          <w:rFonts w:cs="Calibri Light"/>
          <w:b/>
          <w:lang w:bidi="pl-PL"/>
        </w:rPr>
        <w:t>SKOK Wspólnota</w:t>
      </w:r>
      <w:r w:rsidRPr="00DF679D">
        <w:rPr>
          <w:rFonts w:cs="Calibri Light"/>
          <w:lang w:bidi="pl-PL"/>
        </w:rPr>
        <w:t xml:space="preserve"> – Syndyk złożył d</w:t>
      </w:r>
      <w:r w:rsidR="009C178A" w:rsidRPr="00DF679D">
        <w:rPr>
          <w:rFonts w:cs="Calibri Light"/>
          <w:lang w:bidi="pl-PL"/>
        </w:rPr>
        <w:t>o sądu ostateczny plan podziału</w:t>
      </w:r>
      <w:r w:rsidR="002744C0">
        <w:rPr>
          <w:rFonts w:cs="Calibri Light"/>
          <w:lang w:bidi="pl-PL"/>
        </w:rPr>
        <w:t>;</w:t>
      </w:r>
      <w:r w:rsidRPr="00DF679D">
        <w:rPr>
          <w:rFonts w:cs="Calibri Light"/>
          <w:lang w:bidi="pl-PL"/>
        </w:rPr>
        <w:t xml:space="preserve"> Fundusz otrzyma kwotę 1 296 049,05 zł.</w:t>
      </w:r>
    </w:p>
    <w:p w:rsidR="007412DC" w:rsidRPr="00E31685" w:rsidRDefault="007412DC" w:rsidP="00067AC1">
      <w:pPr>
        <w:pStyle w:val="Akapitzlist"/>
        <w:keepNext/>
        <w:spacing w:before="120" w:after="120"/>
        <w:ind w:left="0"/>
        <w:contextualSpacing w:val="0"/>
        <w:outlineLvl w:val="3"/>
        <w:rPr>
          <w:rFonts w:eastAsia="Times New Roman" w:cs="Calibri Light"/>
          <w:bCs/>
          <w:i/>
          <w:szCs w:val="28"/>
          <w:u w:val="single"/>
        </w:rPr>
      </w:pPr>
      <w:r w:rsidRPr="00E31685">
        <w:rPr>
          <w:rFonts w:eastAsia="Times New Roman" w:cs="Calibri Light"/>
          <w:bCs/>
          <w:i/>
          <w:szCs w:val="28"/>
          <w:u w:val="single"/>
        </w:rPr>
        <w:t>Istotne wydarzenia w toczących się postępowaniach</w:t>
      </w:r>
    </w:p>
    <w:p w:rsidR="007412DC" w:rsidRPr="002744C0" w:rsidRDefault="007412DC" w:rsidP="008004CF">
      <w:pPr>
        <w:pStyle w:val="Akapitzlist"/>
        <w:numPr>
          <w:ilvl w:val="0"/>
          <w:numId w:val="7"/>
        </w:numPr>
        <w:spacing w:after="120"/>
        <w:ind w:left="714" w:hanging="357"/>
        <w:rPr>
          <w:rFonts w:cs="Calibri Light"/>
        </w:rPr>
      </w:pPr>
      <w:r w:rsidRPr="002744C0">
        <w:rPr>
          <w:rFonts w:cs="Calibri Light"/>
          <w:b/>
          <w:lang w:bidi="pl-PL"/>
        </w:rPr>
        <w:t>Twoja SKOK</w:t>
      </w:r>
      <w:r w:rsidRPr="00DF679D">
        <w:rPr>
          <w:rFonts w:cs="Calibri Light"/>
          <w:lang w:bidi="pl-PL"/>
        </w:rPr>
        <w:t xml:space="preserve"> – </w:t>
      </w:r>
      <w:r w:rsidR="00771BA6" w:rsidRPr="00DF679D">
        <w:rPr>
          <w:rFonts w:cs="Calibri Light"/>
          <w:lang w:bidi="pl-PL"/>
        </w:rPr>
        <w:t>29 lipca 2022</w:t>
      </w:r>
      <w:r w:rsidR="002744C0">
        <w:rPr>
          <w:rFonts w:cs="Calibri Light"/>
          <w:lang w:bidi="pl-PL"/>
        </w:rPr>
        <w:t xml:space="preserve"> r.</w:t>
      </w:r>
      <w:r w:rsidR="00771BA6" w:rsidRPr="00DF679D">
        <w:rPr>
          <w:rFonts w:cs="Calibri Light"/>
          <w:lang w:bidi="pl-PL"/>
        </w:rPr>
        <w:t xml:space="preserve"> </w:t>
      </w:r>
      <w:r w:rsidR="00074ED6" w:rsidRPr="00DF679D">
        <w:rPr>
          <w:rFonts w:cs="Calibri Light"/>
          <w:lang w:bidi="pl-PL"/>
        </w:rPr>
        <w:t xml:space="preserve">miał miejsce </w:t>
      </w:r>
      <w:r w:rsidR="00771BA6" w:rsidRPr="00DF679D">
        <w:rPr>
          <w:rFonts w:cs="Calibri Light"/>
          <w:lang w:bidi="pl-PL"/>
        </w:rPr>
        <w:t xml:space="preserve">bezskuteczny przetarg na sprzedaż przedsiębiorstwa upadłej Kasy. </w:t>
      </w:r>
      <w:r w:rsidR="009D5919" w:rsidRPr="00DF679D">
        <w:rPr>
          <w:rFonts w:cs="Calibri Light"/>
          <w:lang w:bidi="pl-PL"/>
        </w:rPr>
        <w:t xml:space="preserve">Na 27 października </w:t>
      </w:r>
      <w:r w:rsidR="002744C0">
        <w:rPr>
          <w:rFonts w:cs="Calibri Light"/>
          <w:lang w:bidi="pl-PL"/>
        </w:rPr>
        <w:t xml:space="preserve">br. </w:t>
      </w:r>
      <w:r w:rsidR="009D5919" w:rsidRPr="00DF679D">
        <w:rPr>
          <w:rFonts w:cs="Calibri Light"/>
          <w:lang w:bidi="pl-PL"/>
        </w:rPr>
        <w:t xml:space="preserve">planowane jest </w:t>
      </w:r>
      <w:r w:rsidR="009D5919" w:rsidRPr="00DF679D">
        <w:rPr>
          <w:rFonts w:cs="Calibri Light"/>
        </w:rPr>
        <w:t>przeprowadzenie</w:t>
      </w:r>
      <w:r w:rsidR="00771BA6" w:rsidRPr="00DF679D">
        <w:rPr>
          <w:rFonts w:cs="Calibri Light"/>
        </w:rPr>
        <w:t xml:space="preserve"> przetargu ograniczonego (skierowanego do jednostek sektora finansowego</w:t>
      </w:r>
      <w:r w:rsidR="00112E5D" w:rsidRPr="00DF679D">
        <w:rPr>
          <w:rFonts w:cs="Calibri Light"/>
        </w:rPr>
        <w:t xml:space="preserve"> </w:t>
      </w:r>
      <w:r w:rsidR="002744C0">
        <w:rPr>
          <w:rFonts w:cs="Calibri Light"/>
        </w:rPr>
        <w:t>–</w:t>
      </w:r>
      <w:r w:rsidR="00771BA6" w:rsidRPr="00DF679D">
        <w:rPr>
          <w:rFonts w:cs="Calibri Light"/>
        </w:rPr>
        <w:t xml:space="preserve"> głównie funduszy inwestycyjnych) na sprzedaż wszystkich pa</w:t>
      </w:r>
      <w:r w:rsidR="009D5919" w:rsidRPr="00DF679D">
        <w:rPr>
          <w:rFonts w:cs="Calibri Light"/>
        </w:rPr>
        <w:t>kietów wierzytelności kasy</w:t>
      </w:r>
      <w:r w:rsidR="00771BA6" w:rsidRPr="00DF679D">
        <w:rPr>
          <w:rFonts w:cs="Calibri Light"/>
        </w:rPr>
        <w:t>, zarówno wymagalnych</w:t>
      </w:r>
      <w:r w:rsidR="00112E5D" w:rsidRPr="00DF679D">
        <w:rPr>
          <w:rFonts w:cs="Calibri Light"/>
        </w:rPr>
        <w:t>,</w:t>
      </w:r>
      <w:r w:rsidR="00771BA6" w:rsidRPr="00DF679D">
        <w:rPr>
          <w:rFonts w:cs="Calibri Light"/>
        </w:rPr>
        <w:t xml:space="preserve"> jak i niewymagalnych (Syndyk uzyskał pozytywne sta</w:t>
      </w:r>
      <w:r w:rsidR="009D5919" w:rsidRPr="00DF679D">
        <w:rPr>
          <w:rFonts w:cs="Calibri Light"/>
        </w:rPr>
        <w:t>nowisko KNF w sprawie sprzedaży</w:t>
      </w:r>
      <w:r w:rsidR="00771BA6" w:rsidRPr="00DF679D">
        <w:rPr>
          <w:rFonts w:cs="Calibri Light"/>
        </w:rPr>
        <w:t xml:space="preserve">). </w:t>
      </w:r>
      <w:r w:rsidR="008E582B" w:rsidRPr="002744C0">
        <w:rPr>
          <w:rFonts w:cs="Calibri Light"/>
        </w:rPr>
        <w:t>Sąd Najwyższy odrzucił kasację Syndyka Twoja SKOK od wyroku Sądu Apelacyjnego odrzucającego apelację od wyroku Sądu Okręgowego w Opolu z dnia 5</w:t>
      </w:r>
      <w:r w:rsidR="002744C0">
        <w:rPr>
          <w:rFonts w:cs="Calibri Light"/>
        </w:rPr>
        <w:t xml:space="preserve"> lutego </w:t>
      </w:r>
      <w:r w:rsidR="008E582B" w:rsidRPr="002744C0">
        <w:rPr>
          <w:rFonts w:cs="Calibri Light"/>
        </w:rPr>
        <w:t>2020 r. oddalającego powództwo Syndyka przeciwko Kasie Krajowej o zapłatę z tytułu tzw. „podwójnej odpowiedzialności”- zwrócona</w:t>
      </w:r>
      <w:r w:rsidR="002744C0">
        <w:rPr>
          <w:rFonts w:cs="Calibri Light"/>
        </w:rPr>
        <w:t xml:space="preserve"> </w:t>
      </w:r>
      <w:r w:rsidR="008E582B" w:rsidRPr="002744C0">
        <w:rPr>
          <w:rFonts w:cs="Calibri Light"/>
        </w:rPr>
        <w:t xml:space="preserve">została połowa wpisu od skargi kasacyjnej. </w:t>
      </w:r>
    </w:p>
    <w:p w:rsidR="007412DC" w:rsidRPr="00DF679D" w:rsidRDefault="007412DC" w:rsidP="008004CF">
      <w:pPr>
        <w:pStyle w:val="Akapitzlist"/>
        <w:numPr>
          <w:ilvl w:val="0"/>
          <w:numId w:val="7"/>
        </w:numPr>
        <w:spacing w:after="120"/>
        <w:ind w:left="714" w:hanging="357"/>
        <w:rPr>
          <w:rFonts w:cs="Calibri Light"/>
        </w:rPr>
      </w:pPr>
      <w:r w:rsidRPr="002744C0">
        <w:rPr>
          <w:rFonts w:cs="Calibri Light"/>
          <w:b/>
          <w:lang w:bidi="pl-PL"/>
        </w:rPr>
        <w:t>S</w:t>
      </w:r>
      <w:r w:rsidR="00074ED6" w:rsidRPr="002744C0">
        <w:rPr>
          <w:rFonts w:cs="Calibri Light"/>
          <w:b/>
          <w:lang w:bidi="pl-PL"/>
        </w:rPr>
        <w:t>BRiR w Wołominie</w:t>
      </w:r>
      <w:r w:rsidRPr="00DF679D">
        <w:rPr>
          <w:rFonts w:cs="Calibri Light"/>
          <w:lang w:bidi="pl-PL"/>
        </w:rPr>
        <w:t xml:space="preserve"> – </w:t>
      </w:r>
      <w:r w:rsidR="009D5919" w:rsidRPr="00DF679D">
        <w:rPr>
          <w:rFonts w:cs="Calibri Light"/>
          <w:lang w:bidi="pl-PL"/>
        </w:rPr>
        <w:t xml:space="preserve">po uzupełnieniu </w:t>
      </w:r>
      <w:r w:rsidRPr="00DF679D">
        <w:rPr>
          <w:rFonts w:cs="Calibri Light"/>
          <w:lang w:bidi="pl-PL"/>
        </w:rPr>
        <w:t>skład</w:t>
      </w:r>
      <w:r w:rsidR="009D5919" w:rsidRPr="00DF679D">
        <w:rPr>
          <w:rFonts w:cs="Calibri Light"/>
          <w:lang w:bidi="pl-PL"/>
        </w:rPr>
        <w:t>u</w:t>
      </w:r>
      <w:r w:rsidRPr="00DF679D">
        <w:rPr>
          <w:rFonts w:cs="Calibri Light"/>
          <w:lang w:bidi="pl-PL"/>
        </w:rPr>
        <w:t xml:space="preserve"> Rady Wierzycieli i wyzna</w:t>
      </w:r>
      <w:r w:rsidR="009D5919" w:rsidRPr="00DF679D">
        <w:rPr>
          <w:rFonts w:cs="Calibri Light"/>
          <w:lang w:bidi="pl-PL"/>
        </w:rPr>
        <w:t>czeniu</w:t>
      </w:r>
      <w:r w:rsidRPr="00DF679D">
        <w:rPr>
          <w:rFonts w:cs="Calibri Light"/>
          <w:lang w:bidi="pl-PL"/>
        </w:rPr>
        <w:t xml:space="preserve"> nowego członka w miejsce Narodowego Banku Polskiego </w:t>
      </w:r>
      <w:r w:rsidR="00F31178">
        <w:rPr>
          <w:rFonts w:cs="Calibri Light"/>
          <w:lang w:bidi="pl-PL"/>
        </w:rPr>
        <w:t>–</w:t>
      </w:r>
      <w:r w:rsidRPr="00DF679D">
        <w:rPr>
          <w:rFonts w:cs="Calibri Light"/>
          <w:lang w:bidi="pl-PL"/>
        </w:rPr>
        <w:t xml:space="preserve"> Zakład</w:t>
      </w:r>
      <w:r w:rsidR="0042182C" w:rsidRPr="00DF679D">
        <w:rPr>
          <w:rFonts w:cs="Calibri Light"/>
          <w:lang w:bidi="pl-PL"/>
        </w:rPr>
        <w:t>u</w:t>
      </w:r>
      <w:r w:rsidR="00F31178">
        <w:rPr>
          <w:rFonts w:cs="Calibri Light"/>
          <w:lang w:bidi="pl-PL"/>
        </w:rPr>
        <w:t xml:space="preserve"> </w:t>
      </w:r>
      <w:r w:rsidRPr="00DF679D">
        <w:rPr>
          <w:rFonts w:cs="Calibri Light"/>
          <w:lang w:bidi="pl-PL"/>
        </w:rPr>
        <w:t>Ubezpieczeń Społecznych II Oddział w Warszawie</w:t>
      </w:r>
      <w:r w:rsidR="00112E5D" w:rsidRPr="00DF679D">
        <w:rPr>
          <w:rFonts w:cs="Calibri Light"/>
          <w:lang w:bidi="pl-PL"/>
        </w:rPr>
        <w:t>,</w:t>
      </w:r>
      <w:r w:rsidR="009D5919" w:rsidRPr="00DF679D">
        <w:rPr>
          <w:rFonts w:cs="Calibri Light"/>
          <w:lang w:bidi="pl-PL"/>
        </w:rPr>
        <w:t xml:space="preserve"> Syndyk planuje zwołanie na dzień 12 października 2022 r. posiedzenia Rady Wierzycieli</w:t>
      </w:r>
      <w:r w:rsidR="00EF02EF" w:rsidRPr="00DF679D">
        <w:rPr>
          <w:rFonts w:cs="Calibri Light"/>
          <w:lang w:bidi="pl-PL"/>
        </w:rPr>
        <w:t>, którego przedmiotem będzie podjęcie uchwał w sprawie sprzedaży składników majątku upadłego;</w:t>
      </w:r>
      <w:r w:rsidR="009D5919" w:rsidRPr="00DF679D">
        <w:rPr>
          <w:rFonts w:cs="Calibri Light"/>
          <w:lang w:bidi="pl-PL"/>
        </w:rPr>
        <w:t xml:space="preserve"> Syndyk przesłał </w:t>
      </w:r>
      <w:r w:rsidR="0042182C" w:rsidRPr="00DF679D">
        <w:rPr>
          <w:rFonts w:cs="Calibri Light"/>
          <w:lang w:bidi="pl-PL"/>
        </w:rPr>
        <w:t>członkom Rady Wierzycieli materiały i projekty uchwał.</w:t>
      </w:r>
    </w:p>
    <w:p w:rsidR="0042182C" w:rsidRPr="00DF679D" w:rsidRDefault="00EA3D8E" w:rsidP="008004CF">
      <w:pPr>
        <w:pStyle w:val="Akapitzlist"/>
        <w:numPr>
          <w:ilvl w:val="0"/>
          <w:numId w:val="7"/>
        </w:numPr>
        <w:spacing w:after="0"/>
        <w:ind w:left="714" w:hanging="357"/>
        <w:contextualSpacing w:val="0"/>
        <w:rPr>
          <w:rFonts w:cs="Calibri Light"/>
        </w:rPr>
      </w:pPr>
      <w:r w:rsidRPr="002744C0">
        <w:rPr>
          <w:rFonts w:cs="Calibri Light"/>
          <w:b/>
          <w:lang w:bidi="pl-PL"/>
        </w:rPr>
        <w:t>SKOK w Wołominie</w:t>
      </w:r>
      <w:r w:rsidRPr="00DF679D">
        <w:rPr>
          <w:rFonts w:cs="Calibri Light"/>
          <w:lang w:bidi="pl-PL"/>
        </w:rPr>
        <w:t xml:space="preserve"> – postępowanie sprzeciwowe do listy wierzytelności nie zostało zakończone</w:t>
      </w:r>
      <w:r w:rsidR="00EF02EF" w:rsidRPr="00DF679D">
        <w:rPr>
          <w:rFonts w:cs="Calibri Light"/>
          <w:lang w:bidi="pl-PL"/>
        </w:rPr>
        <w:t xml:space="preserve"> –</w:t>
      </w:r>
      <w:r w:rsidRPr="00DF679D">
        <w:rPr>
          <w:rFonts w:cs="Calibri Light"/>
          <w:lang w:bidi="pl-PL"/>
        </w:rPr>
        <w:t xml:space="preserve"> </w:t>
      </w:r>
      <w:r w:rsidR="00EF02EF" w:rsidRPr="00DF679D">
        <w:rPr>
          <w:rFonts w:cs="Calibri Light"/>
          <w:lang w:bidi="pl-PL"/>
        </w:rPr>
        <w:t>zostały złożone apelacje; Syndyk planuje zwołanie na dzień 5 października 2022 r. posiedzenia Rady Wierzycieli, którego przedm</w:t>
      </w:r>
      <w:r w:rsidR="00F31178">
        <w:rPr>
          <w:rFonts w:cs="Calibri Light"/>
          <w:lang w:bidi="pl-PL"/>
        </w:rPr>
        <w:t>iotem będzie podjęcie uchwały w </w:t>
      </w:r>
      <w:r w:rsidR="00EF02EF" w:rsidRPr="00DF679D">
        <w:rPr>
          <w:rFonts w:cs="Calibri Light"/>
          <w:lang w:bidi="pl-PL"/>
        </w:rPr>
        <w:t xml:space="preserve">sprawie sprzedaży pakietu </w:t>
      </w:r>
      <w:r w:rsidR="00D74189" w:rsidRPr="00DF679D">
        <w:rPr>
          <w:rFonts w:cs="Calibri Light"/>
          <w:lang w:bidi="pl-PL"/>
        </w:rPr>
        <w:t>wierzytelności</w:t>
      </w:r>
      <w:r w:rsidR="00EF02EF" w:rsidRPr="00DF679D">
        <w:rPr>
          <w:rFonts w:cs="Calibri Light"/>
          <w:lang w:bidi="pl-PL"/>
        </w:rPr>
        <w:t>; Syndyk przesłał członkom Rady Wierzycieli materiały i projekty uchwał.</w:t>
      </w:r>
    </w:p>
    <w:p w:rsidR="007412DC" w:rsidRPr="00E31685" w:rsidRDefault="007412DC" w:rsidP="00067AC1">
      <w:pPr>
        <w:keepNext/>
        <w:spacing w:before="120" w:after="120"/>
        <w:outlineLvl w:val="3"/>
        <w:rPr>
          <w:rFonts w:eastAsia="Times New Roman" w:cs="Calibri Light"/>
          <w:bCs/>
          <w:i/>
          <w:szCs w:val="28"/>
          <w:u w:val="single"/>
        </w:rPr>
      </w:pPr>
      <w:r w:rsidRPr="00E31685">
        <w:rPr>
          <w:rFonts w:eastAsia="Times New Roman" w:cs="Calibri Light"/>
          <w:bCs/>
          <w:i/>
          <w:szCs w:val="28"/>
          <w:u w:val="single"/>
        </w:rPr>
        <w:t xml:space="preserve">Dochodzenie roszczeń z tytułu składek obowiązkowych oraz poniesionych kosztów przymusowej restrukturyzacji </w:t>
      </w:r>
    </w:p>
    <w:p w:rsidR="007412DC" w:rsidRPr="00DF679D" w:rsidRDefault="007412DC" w:rsidP="007412DC">
      <w:pPr>
        <w:widowControl w:val="0"/>
        <w:spacing w:before="120" w:after="120"/>
        <w:rPr>
          <w:rFonts w:cs="Calibri Light"/>
        </w:rPr>
      </w:pPr>
      <w:r w:rsidRPr="00DF679D">
        <w:rPr>
          <w:rFonts w:cs="Calibri Light"/>
        </w:rPr>
        <w:t xml:space="preserve">Fundusz jest także wierzycielem w </w:t>
      </w:r>
      <w:r w:rsidR="008019FA" w:rsidRPr="00DF679D">
        <w:rPr>
          <w:rFonts w:cs="Calibri Light"/>
        </w:rPr>
        <w:t>trzech</w:t>
      </w:r>
      <w:r w:rsidRPr="00DF679D">
        <w:rPr>
          <w:rFonts w:cs="Calibri Light"/>
        </w:rPr>
        <w:t xml:space="preserve"> postępowaniach upadłościowych z tytułu wierzytelności wynikających z kosztów przymusowej restrukturyzacji oraz z niezapłaconych składek na fundusz gwarancyjny banków i fundusz przymusowej restrukturyzacji banków:</w:t>
      </w:r>
    </w:p>
    <w:p w:rsidR="007412DC" w:rsidRPr="00DF679D" w:rsidRDefault="007412DC" w:rsidP="008004CF">
      <w:pPr>
        <w:pStyle w:val="Akapitzlist"/>
        <w:widowControl w:val="0"/>
        <w:numPr>
          <w:ilvl w:val="0"/>
          <w:numId w:val="8"/>
        </w:numPr>
        <w:spacing w:after="0"/>
        <w:ind w:left="714" w:hanging="357"/>
        <w:rPr>
          <w:rFonts w:cs="Calibri Light"/>
        </w:rPr>
      </w:pPr>
      <w:r w:rsidRPr="00E31685">
        <w:rPr>
          <w:rFonts w:cs="Calibri Light"/>
          <w:b/>
        </w:rPr>
        <w:t>PBS w Sanoku</w:t>
      </w:r>
      <w:r w:rsidRPr="00DF679D">
        <w:rPr>
          <w:rFonts w:cs="Calibri Light"/>
        </w:rPr>
        <w:t xml:space="preserve"> – wierzytelność w kwocie ogółem 9 326,8 tys. zł, w tym kwota 7 922,2 tys. zł (koszty przymusowej restrukturyzacji) oraz kwota 1 404,6 tys. zł (nie</w:t>
      </w:r>
      <w:r w:rsidR="00014965" w:rsidRPr="00DF679D">
        <w:rPr>
          <w:rFonts w:cs="Calibri Light"/>
        </w:rPr>
        <w:t>za</w:t>
      </w:r>
      <w:r w:rsidRPr="00DF679D">
        <w:rPr>
          <w:rFonts w:cs="Calibri Light"/>
        </w:rPr>
        <w:t xml:space="preserve">płacone składki). Syndyk, po konsultacji z KNF, przygotowuje wycenę przeznaczonych do sprzedaży akcji spółki PBS Finanse S.A., której głównym akcjonariuszem jest PBS w Sanoku (66% akcji). </w:t>
      </w:r>
      <w:r w:rsidR="004D51FD" w:rsidRPr="00DF679D">
        <w:rPr>
          <w:rFonts w:cs="Calibri Light"/>
        </w:rPr>
        <w:t>Fundusz skierował pismo do sędziego-komisarza w sprawie przyspieszenia czynności dotyczących zatwierdzenia listy wierzytelności.</w:t>
      </w:r>
    </w:p>
    <w:p w:rsidR="007412DC" w:rsidRPr="00DF679D" w:rsidRDefault="007412DC" w:rsidP="008004CF">
      <w:pPr>
        <w:pStyle w:val="Akapitzlist"/>
        <w:widowControl w:val="0"/>
        <w:numPr>
          <w:ilvl w:val="0"/>
          <w:numId w:val="8"/>
        </w:numPr>
        <w:spacing w:after="0"/>
        <w:ind w:left="714" w:hanging="357"/>
        <w:rPr>
          <w:rFonts w:cs="Calibri Light"/>
          <w:u w:val="single"/>
        </w:rPr>
      </w:pPr>
      <w:r w:rsidRPr="00E31685">
        <w:rPr>
          <w:rFonts w:cs="Calibri Light"/>
          <w:b/>
        </w:rPr>
        <w:t>BS w Przemkowie</w:t>
      </w:r>
      <w:r w:rsidRPr="00DF679D">
        <w:rPr>
          <w:rFonts w:cs="Calibri Light"/>
        </w:rPr>
        <w:t xml:space="preserve"> – wierzytelność w kwocie 82 841,2 tys. zł (koszty przymusowej restrukturyzacji) oraz w kwocie 20,7 tys. zł (niezapłacone składki). Wszystkie składniki masy upadłości w tym postępowaniu zostały zlikwidowane w 2021 r. – postępowanie znajduje się na końcowym etapie. Syndyk złożył i wykonał ostateczny plan podziału na kwotę </w:t>
      </w:r>
      <w:r w:rsidR="00D7052B" w:rsidRPr="00DF679D">
        <w:rPr>
          <w:rFonts w:cs="Calibri Light"/>
        </w:rPr>
        <w:br/>
      </w:r>
      <w:r w:rsidRPr="00DF679D">
        <w:rPr>
          <w:rFonts w:cs="Calibri Light"/>
        </w:rPr>
        <w:t>133</w:t>
      </w:r>
      <w:r w:rsidR="00074ED6" w:rsidRPr="00DF679D">
        <w:rPr>
          <w:rFonts w:cs="Calibri Light"/>
        </w:rPr>
        <w:t>,88 tys.</w:t>
      </w:r>
      <w:r w:rsidRPr="00DF679D">
        <w:rPr>
          <w:rFonts w:cs="Calibri Light"/>
        </w:rPr>
        <w:t xml:space="preserve"> zł</w:t>
      </w:r>
      <w:r w:rsidR="00074ED6" w:rsidRPr="00DF679D">
        <w:rPr>
          <w:rFonts w:cs="Calibri Light"/>
        </w:rPr>
        <w:t>.</w:t>
      </w:r>
      <w:r w:rsidRPr="00DF679D">
        <w:rPr>
          <w:rFonts w:cs="Calibri Light"/>
        </w:rPr>
        <w:t xml:space="preserve"> Kwota w całości została przeznaczona na zaspokojenie wierzytelności Funduszu z tytułu kosztów przymusowej restrukturyzacji. Dodatkowo na rachunek Funduszu wpłynęła kwota 21</w:t>
      </w:r>
      <w:r w:rsidR="00074ED6" w:rsidRPr="00DF679D">
        <w:rPr>
          <w:rFonts w:cs="Calibri Light"/>
        </w:rPr>
        <w:t>,81 tys.</w:t>
      </w:r>
      <w:r w:rsidRPr="00DF679D">
        <w:rPr>
          <w:rFonts w:cs="Calibri Light"/>
        </w:rPr>
        <w:t xml:space="preserve"> zł z tytułu zwrotu podatku VAT, w całości przeznaczona na zaspokojenie wierzytelności Funduszu z tytułu kosztów przymusowej restrukturyzacji. Zaspokojenie Funduszu w tym postępowaniu wyniosło poniżej 0,2%.</w:t>
      </w:r>
      <w:r w:rsidR="00D7052B" w:rsidRPr="00DF679D">
        <w:rPr>
          <w:rFonts w:cs="Calibri Light"/>
        </w:rPr>
        <w:br/>
      </w:r>
      <w:r w:rsidR="0042182C" w:rsidRPr="00DF679D">
        <w:rPr>
          <w:rFonts w:cs="Calibri Light"/>
          <w:u w:val="single"/>
        </w:rPr>
        <w:t>5 lipca 2022 Sąd Rejonowy w Legnicy wydał postanowienie o zakończeniu postępowania upadłościowego</w:t>
      </w:r>
      <w:r w:rsidR="008E582B" w:rsidRPr="00DF679D">
        <w:rPr>
          <w:rFonts w:cs="Calibri Light"/>
          <w:u w:val="single"/>
        </w:rPr>
        <w:t>. Postanowienie jest prawomocne</w:t>
      </w:r>
      <w:r w:rsidR="00112E5D" w:rsidRPr="00DF679D">
        <w:rPr>
          <w:rFonts w:cs="Calibri Light"/>
          <w:u w:val="single"/>
        </w:rPr>
        <w:t>,</w:t>
      </w:r>
      <w:r w:rsidR="0042182C" w:rsidRPr="00DF679D">
        <w:rPr>
          <w:rFonts w:cs="Calibri Light"/>
          <w:u w:val="single"/>
        </w:rPr>
        <w:t xml:space="preserve"> Fundusz oczekuje na wykreślenie Banku z KRS.</w:t>
      </w:r>
      <w:r w:rsidR="005A6833">
        <w:rPr>
          <w:rFonts w:cs="Calibri Light"/>
          <w:u w:val="single"/>
        </w:rPr>
        <w:t xml:space="preserve"> </w:t>
      </w:r>
    </w:p>
    <w:p w:rsidR="0042182C" w:rsidRPr="00DF679D" w:rsidRDefault="0042182C" w:rsidP="008004CF">
      <w:pPr>
        <w:pStyle w:val="Akapitzlist"/>
        <w:widowControl w:val="0"/>
        <w:numPr>
          <w:ilvl w:val="0"/>
          <w:numId w:val="8"/>
        </w:numPr>
        <w:spacing w:after="0"/>
        <w:ind w:left="714" w:hanging="357"/>
        <w:rPr>
          <w:rFonts w:cs="Calibri Light"/>
        </w:rPr>
      </w:pPr>
      <w:r w:rsidRPr="00DF679D">
        <w:rPr>
          <w:rFonts w:cs="Calibri Light"/>
        </w:rPr>
        <w:t>I</w:t>
      </w:r>
      <w:r w:rsidR="00E31685">
        <w:rPr>
          <w:rFonts w:cs="Calibri Light"/>
        </w:rPr>
        <w:t>dea</w:t>
      </w:r>
      <w:r w:rsidRPr="00DF679D">
        <w:rPr>
          <w:rFonts w:cs="Calibri Light"/>
        </w:rPr>
        <w:t xml:space="preserve"> Bank S</w:t>
      </w:r>
      <w:r w:rsidR="00E31685">
        <w:rPr>
          <w:rFonts w:cs="Calibri Light"/>
        </w:rPr>
        <w:t>.</w:t>
      </w:r>
      <w:r w:rsidRPr="00DF679D">
        <w:rPr>
          <w:rFonts w:cs="Calibri Light"/>
        </w:rPr>
        <w:t>A</w:t>
      </w:r>
      <w:r w:rsidR="00E31685">
        <w:rPr>
          <w:rFonts w:cs="Calibri Light"/>
        </w:rPr>
        <w:t>. –</w:t>
      </w:r>
      <w:r w:rsidR="008E582B" w:rsidRPr="00DF679D">
        <w:rPr>
          <w:rFonts w:cs="Calibri Light"/>
        </w:rPr>
        <w:t xml:space="preserve"> 26</w:t>
      </w:r>
      <w:r w:rsidR="00E31685">
        <w:rPr>
          <w:rFonts w:cs="Calibri Light"/>
        </w:rPr>
        <w:t xml:space="preserve"> </w:t>
      </w:r>
      <w:r w:rsidR="008E582B" w:rsidRPr="00DF679D">
        <w:rPr>
          <w:rFonts w:cs="Calibri Light"/>
        </w:rPr>
        <w:t xml:space="preserve">lipca 2022 r. Sąd Rejonowy w Warszawie ogłosił </w:t>
      </w:r>
      <w:r w:rsidR="00AD0018" w:rsidRPr="00DF679D">
        <w:rPr>
          <w:rFonts w:cs="Calibri Light"/>
        </w:rPr>
        <w:t>upadłość</w:t>
      </w:r>
      <w:r w:rsidR="008E582B" w:rsidRPr="00DF679D">
        <w:rPr>
          <w:rFonts w:cs="Calibri Light"/>
        </w:rPr>
        <w:t xml:space="preserve"> banku. </w:t>
      </w:r>
      <w:r w:rsidR="00E31685">
        <w:rPr>
          <w:rFonts w:cs="Calibri Light"/>
        </w:rPr>
        <w:t>25 </w:t>
      </w:r>
      <w:r w:rsidR="008E582B" w:rsidRPr="00DF679D">
        <w:rPr>
          <w:rFonts w:cs="Calibri Light"/>
        </w:rPr>
        <w:t xml:space="preserve">sierpnia 2022 r. Fundusz zgłosił wierzytelność do masy </w:t>
      </w:r>
      <w:r w:rsidR="00AD0018" w:rsidRPr="00DF679D">
        <w:rPr>
          <w:rFonts w:cs="Calibri Light"/>
        </w:rPr>
        <w:t xml:space="preserve">oraz poinformował Syndyka </w:t>
      </w:r>
      <w:r w:rsidR="00D7052B" w:rsidRPr="00DF679D">
        <w:rPr>
          <w:rFonts w:cs="Calibri Light"/>
        </w:rPr>
        <w:br/>
      </w:r>
      <w:r w:rsidR="00AD0018" w:rsidRPr="00DF679D">
        <w:rPr>
          <w:rFonts w:cs="Calibri Light"/>
        </w:rPr>
        <w:t>o kosztach przymusowej restrukturyzacji. Wierzytelność Funduszu z tytułu kosztów przymusowej restrukturyzacji wynosi na dzień 30</w:t>
      </w:r>
      <w:r w:rsidR="00E31685">
        <w:rPr>
          <w:rFonts w:cs="Calibri Light"/>
        </w:rPr>
        <w:t xml:space="preserve"> września </w:t>
      </w:r>
      <w:r w:rsidR="00AD0018" w:rsidRPr="00DF679D">
        <w:rPr>
          <w:rFonts w:cs="Calibri Light"/>
        </w:rPr>
        <w:t>2022 r. 415</w:t>
      </w:r>
      <w:r w:rsidR="00074ED6" w:rsidRPr="00DF679D">
        <w:rPr>
          <w:rFonts w:cs="Calibri Light"/>
        </w:rPr>
        <w:t> </w:t>
      </w:r>
      <w:r w:rsidR="00AD0018" w:rsidRPr="00DF679D">
        <w:rPr>
          <w:rFonts w:cs="Calibri Light"/>
        </w:rPr>
        <w:t>711</w:t>
      </w:r>
      <w:r w:rsidR="00074ED6" w:rsidRPr="00DF679D">
        <w:rPr>
          <w:rFonts w:cs="Calibri Light"/>
        </w:rPr>
        <w:t>,35 tys.</w:t>
      </w:r>
      <w:r w:rsidR="00112E5D" w:rsidRPr="00DF679D">
        <w:rPr>
          <w:rFonts w:cs="Calibri Light"/>
        </w:rPr>
        <w:t xml:space="preserve"> zł.</w:t>
      </w:r>
      <w:r w:rsidR="00AD0018" w:rsidRPr="00DF679D">
        <w:rPr>
          <w:rFonts w:cs="Calibri Light"/>
        </w:rPr>
        <w:t xml:space="preserve"> Należność z tytułu niezapłaconych składek wynosi 7</w:t>
      </w:r>
      <w:r w:rsidR="00074ED6" w:rsidRPr="00DF679D">
        <w:rPr>
          <w:rFonts w:cs="Calibri Light"/>
        </w:rPr>
        <w:t> </w:t>
      </w:r>
      <w:r w:rsidR="00AD0018" w:rsidRPr="00DF679D">
        <w:rPr>
          <w:rFonts w:cs="Calibri Light"/>
        </w:rPr>
        <w:t>654</w:t>
      </w:r>
      <w:r w:rsidR="00074ED6" w:rsidRPr="00DF679D">
        <w:rPr>
          <w:rFonts w:cs="Calibri Light"/>
        </w:rPr>
        <w:t>,51 tys.</w:t>
      </w:r>
      <w:r w:rsidR="00AD0018" w:rsidRPr="00DF679D">
        <w:rPr>
          <w:rFonts w:cs="Calibri Light"/>
        </w:rPr>
        <w:t xml:space="preserve"> zł. Syndyk złożył ogólne sprawozdanie o stanie masy upadłości i możliwości zaspokojenia wierzycieli</w:t>
      </w:r>
      <w:r w:rsidR="00112E5D" w:rsidRPr="00DF679D">
        <w:rPr>
          <w:rFonts w:cs="Calibri Light"/>
        </w:rPr>
        <w:t>,</w:t>
      </w:r>
      <w:r w:rsidR="00AD0018" w:rsidRPr="00DF679D">
        <w:rPr>
          <w:rFonts w:cs="Calibri Light"/>
        </w:rPr>
        <w:t xml:space="preserve"> w którym wskazał, że na obecnym etapie postępowania trudne jest oszacowanie stopnia zaspokojenia wierzycieli. </w:t>
      </w:r>
    </w:p>
    <w:p w:rsidR="007412DC" w:rsidRDefault="007412DC" w:rsidP="007412DC">
      <w:pPr>
        <w:widowControl w:val="0"/>
        <w:spacing w:before="120" w:after="120"/>
        <w:rPr>
          <w:rFonts w:cs="Calibri Light"/>
        </w:rPr>
      </w:pPr>
      <w:r w:rsidRPr="00DF679D">
        <w:rPr>
          <w:rFonts w:cs="Calibri Light"/>
        </w:rPr>
        <w:t xml:space="preserve">Ponadto Fundusz dochodzi wierzytelności z tytułu niezapłaconych składek obowiązkowych w łącznej kwocie </w:t>
      </w:r>
      <w:r w:rsidR="00D74189" w:rsidRPr="00DF679D">
        <w:rPr>
          <w:rFonts w:cs="Calibri Light"/>
        </w:rPr>
        <w:t>1 450,6</w:t>
      </w:r>
      <w:r w:rsidRPr="00DF679D">
        <w:rPr>
          <w:rFonts w:cs="Calibri Light"/>
        </w:rPr>
        <w:t xml:space="preserve"> tys. zł wobec:</w:t>
      </w:r>
      <w:r w:rsidR="00D74189" w:rsidRPr="00DF679D">
        <w:rPr>
          <w:rFonts w:cs="Calibri Light"/>
        </w:rPr>
        <w:t xml:space="preserve"> </w:t>
      </w:r>
      <w:r w:rsidRPr="00DF679D">
        <w:rPr>
          <w:rFonts w:cs="Calibri Light"/>
        </w:rPr>
        <w:t xml:space="preserve">Twojej SKOK, SKOK „Nike” oraz wobec </w:t>
      </w:r>
      <w:r w:rsidR="00A9018D" w:rsidRPr="00DF679D">
        <w:rPr>
          <w:rFonts w:cs="Calibri Light"/>
        </w:rPr>
        <w:t>trzech</w:t>
      </w:r>
      <w:r w:rsidRPr="00DF679D">
        <w:rPr>
          <w:rFonts w:cs="Calibri Light"/>
        </w:rPr>
        <w:t xml:space="preserve"> domów maklerskich: Infinity8 S.A. </w:t>
      </w:r>
      <w:r w:rsidR="00E31685">
        <w:rPr>
          <w:rFonts w:cs="Calibri Light"/>
        </w:rPr>
        <w:t>–</w:t>
      </w:r>
      <w:r w:rsidRPr="00DF679D">
        <w:rPr>
          <w:rFonts w:cs="Calibri Light"/>
        </w:rPr>
        <w:t xml:space="preserve"> poprzednio</w:t>
      </w:r>
      <w:r w:rsidR="00E31685">
        <w:rPr>
          <w:rFonts w:cs="Calibri Light"/>
        </w:rPr>
        <w:t xml:space="preserve"> </w:t>
      </w:r>
      <w:r w:rsidRPr="00DF679D">
        <w:rPr>
          <w:rFonts w:cs="Calibri Light"/>
        </w:rPr>
        <w:t>Dom Maklerski W Inwestments S.A.</w:t>
      </w:r>
      <w:r w:rsidR="00A9018D" w:rsidRPr="00DF679D">
        <w:rPr>
          <w:rFonts w:cs="Calibri Light"/>
        </w:rPr>
        <w:t>,</w:t>
      </w:r>
      <w:r w:rsidR="005A6833">
        <w:rPr>
          <w:rFonts w:cs="Calibri Light"/>
        </w:rPr>
        <w:t xml:space="preserve"> </w:t>
      </w:r>
      <w:r w:rsidRPr="00DF679D">
        <w:rPr>
          <w:rFonts w:cs="Calibri Light"/>
        </w:rPr>
        <w:t xml:space="preserve">First Commonwealth Financial S.A. </w:t>
      </w:r>
      <w:r w:rsidR="00E31685">
        <w:rPr>
          <w:rFonts w:cs="Calibri Light"/>
        </w:rPr>
        <w:t>–</w:t>
      </w:r>
      <w:r w:rsidRPr="00DF679D">
        <w:rPr>
          <w:rFonts w:cs="Calibri Light"/>
        </w:rPr>
        <w:t xml:space="preserve"> dawny</w:t>
      </w:r>
      <w:r w:rsidR="00E31685">
        <w:rPr>
          <w:rFonts w:cs="Calibri Light"/>
        </w:rPr>
        <w:t xml:space="preserve"> </w:t>
      </w:r>
      <w:r w:rsidRPr="00DF679D">
        <w:rPr>
          <w:rFonts w:cs="Calibri Light"/>
        </w:rPr>
        <w:t xml:space="preserve">HFT Brokers Dom Maklerski S.A. </w:t>
      </w:r>
      <w:r w:rsidR="00A9018D" w:rsidRPr="00DF679D">
        <w:rPr>
          <w:rFonts w:cs="Calibri Light"/>
        </w:rPr>
        <w:t>oraz Copernicus Securities S.A.</w:t>
      </w:r>
    </w:p>
    <w:p w:rsidR="00ED3098" w:rsidRPr="00057458" w:rsidRDefault="00ED3098" w:rsidP="008004CF">
      <w:pPr>
        <w:pStyle w:val="Nagwek2"/>
        <w:numPr>
          <w:ilvl w:val="0"/>
          <w:numId w:val="3"/>
        </w:numPr>
        <w:spacing w:before="200" w:after="120"/>
        <w:ind w:left="357" w:hanging="357"/>
        <w:rPr>
          <w:rFonts w:cs="Calibri Light"/>
        </w:rPr>
      </w:pPr>
      <w:bookmarkStart w:id="48" w:name="_Toc116304516"/>
      <w:r w:rsidRPr="00057458">
        <w:rPr>
          <w:rFonts w:cs="Calibri Light"/>
        </w:rPr>
        <w:t>Inne kwestie dotyczące gwarantowania depozytów</w:t>
      </w:r>
      <w:bookmarkEnd w:id="48"/>
    </w:p>
    <w:p w:rsidR="00ED3098" w:rsidRPr="006D140E" w:rsidRDefault="00ED3098" w:rsidP="008004CF">
      <w:pPr>
        <w:pStyle w:val="Nagwek3"/>
        <w:numPr>
          <w:ilvl w:val="1"/>
          <w:numId w:val="18"/>
        </w:numPr>
        <w:rPr>
          <w:sz w:val="24"/>
        </w:rPr>
      </w:pPr>
      <w:bookmarkStart w:id="49" w:name="_Toc116304517"/>
      <w:r w:rsidRPr="008549FB">
        <w:rPr>
          <w:rFonts w:cs="Calibri Light"/>
          <w:color w:val="000000"/>
          <w:sz w:val="24"/>
        </w:rPr>
        <w:t>Opracowywanie i nowelizacja wewnętrznych aktów Funduszu</w:t>
      </w:r>
      <w:bookmarkEnd w:id="49"/>
    </w:p>
    <w:p w:rsidR="00ED3098" w:rsidRPr="0017715C" w:rsidRDefault="00ED3098" w:rsidP="00ED3098">
      <w:pPr>
        <w:spacing w:before="120" w:after="120"/>
        <w:rPr>
          <w:rFonts w:eastAsia="Times New Roman" w:cs="Calibri Light"/>
          <w:color w:val="000000"/>
        </w:rPr>
      </w:pPr>
      <w:r w:rsidRPr="0017715C">
        <w:rPr>
          <w:rFonts w:eastAsia="Times New Roman" w:cs="Calibri Light"/>
          <w:color w:val="000000"/>
        </w:rPr>
        <w:t xml:space="preserve">W </w:t>
      </w:r>
      <w:r w:rsidRPr="0069521C">
        <w:rPr>
          <w:rFonts w:eastAsia="Times New Roman" w:cs="Calibri Light"/>
        </w:rPr>
        <w:t>III</w:t>
      </w:r>
      <w:r w:rsidRPr="0017715C">
        <w:rPr>
          <w:rFonts w:eastAsia="Times New Roman" w:cs="Calibri Light"/>
          <w:color w:val="000000"/>
        </w:rPr>
        <w:t xml:space="preserve"> kwartale 2022 r. została podjęta przez Zarząd Funduszu uchwała zmieniająca instrukcję </w:t>
      </w:r>
      <w:r w:rsidRPr="001D4CE0">
        <w:rPr>
          <w:rFonts w:eastAsia="Times New Roman" w:cs="Calibri Light"/>
          <w:i/>
          <w:color w:val="000000"/>
        </w:rPr>
        <w:t>Tryb przygotowania i przeprowadzenia wypłat środków gwarantowanych przez Bankowy Fundusz Gwarancyjny</w:t>
      </w:r>
      <w:r w:rsidRPr="0017715C">
        <w:rPr>
          <w:rFonts w:eastAsia="Times New Roman" w:cs="Calibri Light"/>
          <w:color w:val="000000"/>
        </w:rPr>
        <w:t>. Zaktualizowana regulacja została dostosowana do zmian wynikających z wejś</w:t>
      </w:r>
      <w:r>
        <w:rPr>
          <w:rFonts w:eastAsia="Times New Roman" w:cs="Calibri Light"/>
          <w:color w:val="000000"/>
        </w:rPr>
        <w:t>cia w </w:t>
      </w:r>
      <w:r w:rsidRPr="0017715C">
        <w:rPr>
          <w:rFonts w:eastAsia="Times New Roman" w:cs="Calibri Light"/>
          <w:color w:val="000000"/>
        </w:rPr>
        <w:t>życie powszechnie obowiązujących aktów prawnych</w:t>
      </w:r>
      <w:r>
        <w:rPr>
          <w:rFonts w:eastAsia="Times New Roman" w:cs="Calibri Light"/>
          <w:color w:val="000000"/>
        </w:rPr>
        <w:t>,</w:t>
      </w:r>
      <w:r w:rsidRPr="0017715C">
        <w:rPr>
          <w:rFonts w:eastAsia="Times New Roman" w:cs="Calibri Light"/>
          <w:color w:val="000000"/>
        </w:rPr>
        <w:t xml:space="preserve"> w szczególności:</w:t>
      </w:r>
    </w:p>
    <w:p w:rsidR="00ED3098" w:rsidRPr="001D4CE0" w:rsidRDefault="00ED3098" w:rsidP="008004CF">
      <w:pPr>
        <w:pStyle w:val="Akapitzlist"/>
        <w:numPr>
          <w:ilvl w:val="0"/>
          <w:numId w:val="21"/>
        </w:numPr>
        <w:spacing w:before="120" w:after="120"/>
        <w:ind w:left="714" w:hanging="357"/>
        <w:rPr>
          <w:rFonts w:eastAsia="Times New Roman" w:cs="Calibri Light"/>
          <w:color w:val="000000"/>
        </w:rPr>
      </w:pPr>
      <w:r w:rsidRPr="004A6BF0">
        <w:rPr>
          <w:rFonts w:eastAsia="Times New Roman" w:cs="Calibri Light"/>
          <w:i/>
          <w:color w:val="000000"/>
        </w:rPr>
        <w:t>ustawy z dnia 20 maja 2021 r. o ochronie praw nabywcy lokalu mieszkalnego lub domu jednorodzinnego oraz Deweloperskim Funduszu Gwarancyjnym</w:t>
      </w:r>
      <w:r w:rsidRPr="001D4CE0">
        <w:rPr>
          <w:rFonts w:eastAsia="Times New Roman" w:cs="Calibri Light"/>
          <w:color w:val="000000"/>
        </w:rPr>
        <w:t xml:space="preserve"> (Dz.U. poz. 1177), m.in. zmieniającej ustawę o BFG, w szczególności poprzez dodanie przepisu nakładającego na Fundusz obowiązek przekazania Ubezpieczeniowemu Fundu</w:t>
      </w:r>
      <w:r w:rsidR="001D4CE0">
        <w:rPr>
          <w:rFonts w:eastAsia="Times New Roman" w:cs="Calibri Light"/>
          <w:color w:val="000000"/>
        </w:rPr>
        <w:t>szowi Gwarancyjnemu – w </w:t>
      </w:r>
      <w:r w:rsidRPr="001D4CE0">
        <w:rPr>
          <w:rFonts w:eastAsia="Times New Roman" w:cs="Calibri Light"/>
          <w:color w:val="000000"/>
        </w:rPr>
        <w:t>związku z powołaniem do życia Deweloperskiego Funduszu Gwarancyjnego – informacji pozyskanych od podmiotu uprawnionego do reprezentacji banku, wobec którego nastąpiło spełnienie warunku gwarancji, dotyczących roszczeń de</w:t>
      </w:r>
      <w:r w:rsidR="001D4CE0">
        <w:rPr>
          <w:rFonts w:eastAsia="Times New Roman" w:cs="Calibri Light"/>
          <w:color w:val="000000"/>
        </w:rPr>
        <w:t>ponentów z tytułu ich udziału w </w:t>
      </w:r>
      <w:r w:rsidRPr="001D4CE0">
        <w:rPr>
          <w:rFonts w:eastAsia="Times New Roman" w:cs="Calibri Light"/>
          <w:color w:val="000000"/>
        </w:rPr>
        <w:t>kwotach zgromadzonych na mieszkaniowych rachunkach powierniczych,</w:t>
      </w:r>
    </w:p>
    <w:p w:rsidR="00ED3098" w:rsidRPr="001D4CE0" w:rsidRDefault="00ED3098" w:rsidP="008004CF">
      <w:pPr>
        <w:pStyle w:val="Akapitzlist"/>
        <w:numPr>
          <w:ilvl w:val="0"/>
          <w:numId w:val="21"/>
        </w:numPr>
        <w:spacing w:before="120" w:after="120"/>
        <w:rPr>
          <w:rFonts w:eastAsia="Times New Roman" w:cs="Calibri Light"/>
          <w:color w:val="000000"/>
        </w:rPr>
      </w:pPr>
      <w:r w:rsidRPr="004A6BF0">
        <w:rPr>
          <w:rFonts w:eastAsia="Times New Roman" w:cs="Calibri Light"/>
          <w:i/>
          <w:color w:val="000000"/>
        </w:rPr>
        <w:t>ustawy z dnia 13 kwietnia 2022 r. o szczególnych rozwiązaniach w zakresie przeciwdziałania wspieraniu agresji na Ukrainę oraz służących ochronie bezpieczeństwa narodowego</w:t>
      </w:r>
      <w:r w:rsidRPr="001D4CE0">
        <w:rPr>
          <w:rFonts w:eastAsia="Times New Roman" w:cs="Calibri Light"/>
          <w:color w:val="000000"/>
        </w:rPr>
        <w:t xml:space="preserve"> (Dz.U. poz. 835) oraz aktów prawnych dotyczących tej samej materii wydanych przez organy Unii Europejskiej, zgodnie z przepisami których Fundusz w ramach swojej działalności, obowiązany jest do stosowania odpowiednich środków ograniczających (sankcji).</w:t>
      </w:r>
    </w:p>
    <w:p w:rsidR="00ED3098" w:rsidRPr="0017715C" w:rsidRDefault="00ED3098" w:rsidP="001D4CE0">
      <w:pPr>
        <w:spacing w:before="120" w:after="120"/>
        <w:rPr>
          <w:rFonts w:eastAsia="Times New Roman" w:cs="Calibri Light"/>
          <w:color w:val="000000"/>
        </w:rPr>
      </w:pPr>
      <w:r w:rsidRPr="0017715C">
        <w:rPr>
          <w:rFonts w:eastAsia="Times New Roman" w:cs="Calibri Light"/>
          <w:color w:val="000000"/>
        </w:rPr>
        <w:t xml:space="preserve">Oprócz modyfikacji wynikających z ww. zmian przepisów prawnych, na mocy przedmiotowej uchwały, w instrukcji m.in. </w:t>
      </w:r>
      <w:r>
        <w:rPr>
          <w:rFonts w:eastAsia="Times New Roman" w:cs="Calibri Light"/>
          <w:color w:val="000000"/>
        </w:rPr>
        <w:t>dodany</w:t>
      </w:r>
      <w:r w:rsidRPr="0017715C">
        <w:rPr>
          <w:rFonts w:eastAsia="Times New Roman" w:cs="Calibri Light"/>
          <w:color w:val="000000"/>
        </w:rPr>
        <w:t xml:space="preserve"> został przepis dotyczący pisemnego informowania przez Fundusz deponentów, którzy nie odebrali środków gwarantowanych w wysokości przekraczającej określoną kwotę, o ustawowym terminie przedawnienia roszczeń z tytułu gwarancji.</w:t>
      </w:r>
    </w:p>
    <w:p w:rsidR="00ED3098" w:rsidRPr="001D4CE0" w:rsidRDefault="00ED3098" w:rsidP="008004CF">
      <w:pPr>
        <w:pStyle w:val="Nagwek3"/>
        <w:numPr>
          <w:ilvl w:val="1"/>
          <w:numId w:val="18"/>
        </w:numPr>
        <w:ind w:left="425" w:hanging="425"/>
        <w:rPr>
          <w:rFonts w:cs="Calibri Light"/>
          <w:color w:val="000000"/>
          <w:sz w:val="24"/>
        </w:rPr>
      </w:pPr>
      <w:bookmarkStart w:id="50" w:name="_Toc116304518"/>
      <w:r w:rsidRPr="001D4CE0">
        <w:rPr>
          <w:rFonts w:cs="Calibri Light"/>
          <w:color w:val="000000"/>
          <w:sz w:val="24"/>
        </w:rPr>
        <w:t>Komunikat Bankowego Funduszu Gwarancyjnego dla klientów Wielkopolskiej SKOK, Twojej</w:t>
      </w:r>
      <w:r w:rsidR="005A6833">
        <w:rPr>
          <w:rFonts w:cs="Calibri Light"/>
          <w:color w:val="000000"/>
          <w:sz w:val="24"/>
        </w:rPr>
        <w:t xml:space="preserve">  </w:t>
      </w:r>
      <w:r w:rsidR="00DF3694">
        <w:rPr>
          <w:rFonts w:cs="Calibri Light"/>
          <w:color w:val="000000"/>
          <w:sz w:val="24"/>
        </w:rPr>
        <w:t xml:space="preserve"> </w:t>
      </w:r>
      <w:r w:rsidRPr="001D4CE0">
        <w:rPr>
          <w:rFonts w:cs="Calibri Light"/>
          <w:color w:val="000000"/>
          <w:sz w:val="24"/>
        </w:rPr>
        <w:t>SKOK, SKOK „Nike” i SKOK „Wybrzeże”</w:t>
      </w:r>
      <w:bookmarkEnd w:id="50"/>
    </w:p>
    <w:p w:rsidR="00ED3098" w:rsidRDefault="00ED3098" w:rsidP="001D4CE0">
      <w:pPr>
        <w:spacing w:before="120" w:after="120"/>
        <w:rPr>
          <w:rFonts w:eastAsia="Times New Roman" w:cs="Calibri Light"/>
          <w:bCs/>
          <w:color w:val="000000"/>
        </w:rPr>
      </w:pPr>
      <w:r w:rsidRPr="0017715C">
        <w:rPr>
          <w:rFonts w:eastAsia="Times New Roman" w:cs="Calibri Light"/>
          <w:color w:val="000000"/>
        </w:rPr>
        <w:t xml:space="preserve">W </w:t>
      </w:r>
      <w:r>
        <w:rPr>
          <w:rFonts w:eastAsia="Times New Roman" w:cs="Calibri Light"/>
          <w:color w:val="000000"/>
        </w:rPr>
        <w:t xml:space="preserve">związku z podjętą </w:t>
      </w:r>
      <w:r w:rsidRPr="0017715C">
        <w:rPr>
          <w:rFonts w:eastAsia="Times New Roman" w:cs="Calibri Light"/>
          <w:color w:val="000000"/>
        </w:rPr>
        <w:t xml:space="preserve">przez Zarząd Funduszu </w:t>
      </w:r>
      <w:r>
        <w:rPr>
          <w:rFonts w:eastAsia="Times New Roman" w:cs="Calibri Light"/>
          <w:color w:val="000000"/>
        </w:rPr>
        <w:t xml:space="preserve">w </w:t>
      </w:r>
      <w:r w:rsidRPr="0017715C">
        <w:rPr>
          <w:rFonts w:eastAsia="Times New Roman" w:cs="Calibri Light"/>
          <w:color w:val="000000"/>
        </w:rPr>
        <w:t>I</w:t>
      </w:r>
      <w:r>
        <w:rPr>
          <w:rFonts w:eastAsia="Times New Roman" w:cs="Calibri Light"/>
          <w:color w:val="000000"/>
        </w:rPr>
        <w:t>I</w:t>
      </w:r>
      <w:r w:rsidRPr="0017715C">
        <w:rPr>
          <w:rFonts w:eastAsia="Times New Roman" w:cs="Calibri Light"/>
          <w:color w:val="000000"/>
        </w:rPr>
        <w:t>I kwartale 2022 r. uchwał</w:t>
      </w:r>
      <w:r>
        <w:rPr>
          <w:rFonts w:eastAsia="Times New Roman" w:cs="Calibri Light"/>
          <w:color w:val="000000"/>
        </w:rPr>
        <w:t>ą</w:t>
      </w:r>
      <w:r w:rsidRPr="0017715C">
        <w:rPr>
          <w:rFonts w:eastAsia="Times New Roman" w:cs="Calibri Light"/>
          <w:color w:val="000000"/>
        </w:rPr>
        <w:t xml:space="preserve"> zmieniając</w:t>
      </w:r>
      <w:r>
        <w:rPr>
          <w:rFonts w:eastAsia="Times New Roman" w:cs="Calibri Light"/>
          <w:color w:val="000000"/>
        </w:rPr>
        <w:t>ą</w:t>
      </w:r>
      <w:r w:rsidRPr="0017715C">
        <w:rPr>
          <w:rFonts w:eastAsia="Times New Roman" w:cs="Calibri Light"/>
          <w:color w:val="000000"/>
        </w:rPr>
        <w:t xml:space="preserve"> instrukcję </w:t>
      </w:r>
      <w:r w:rsidRPr="001D4CE0">
        <w:rPr>
          <w:rFonts w:eastAsia="Times New Roman" w:cs="Calibri Light"/>
          <w:i/>
          <w:color w:val="000000"/>
        </w:rPr>
        <w:t>Tryb przygotowania i przeprowadzenia wypłat środków gwarantowanych przez Bankowy Fundusz Gwarancyjny</w:t>
      </w:r>
      <w:r>
        <w:rPr>
          <w:rFonts w:eastAsia="Times New Roman" w:cs="Calibri Light"/>
          <w:color w:val="000000"/>
        </w:rPr>
        <w:t>,</w:t>
      </w:r>
      <w:r w:rsidRPr="0017715C">
        <w:rPr>
          <w:rFonts w:eastAsia="Times New Roman" w:cs="Calibri Light"/>
          <w:color w:val="000000"/>
        </w:rPr>
        <w:t xml:space="preserve"> </w:t>
      </w:r>
      <w:r>
        <w:rPr>
          <w:rFonts w:eastAsia="Times New Roman" w:cs="Calibri Light"/>
          <w:color w:val="000000"/>
        </w:rPr>
        <w:t>m.in. w zakresie dodania</w:t>
      </w:r>
      <w:r w:rsidRPr="00787E3A">
        <w:rPr>
          <w:rFonts w:eastAsia="Times New Roman" w:cs="Calibri Light"/>
          <w:color w:val="000000"/>
        </w:rPr>
        <w:t xml:space="preserve"> przepis</w:t>
      </w:r>
      <w:r>
        <w:rPr>
          <w:rFonts w:eastAsia="Times New Roman" w:cs="Calibri Light"/>
          <w:color w:val="000000"/>
        </w:rPr>
        <w:t>u</w:t>
      </w:r>
      <w:r w:rsidRPr="00787E3A">
        <w:rPr>
          <w:rFonts w:eastAsia="Times New Roman" w:cs="Calibri Light"/>
          <w:color w:val="000000"/>
        </w:rPr>
        <w:t xml:space="preserve"> dotycząc</w:t>
      </w:r>
      <w:r>
        <w:rPr>
          <w:rFonts w:eastAsia="Times New Roman" w:cs="Calibri Light"/>
          <w:color w:val="000000"/>
        </w:rPr>
        <w:t>ego</w:t>
      </w:r>
      <w:r w:rsidRPr="00787E3A">
        <w:rPr>
          <w:rFonts w:eastAsia="Times New Roman" w:cs="Calibri Light"/>
          <w:color w:val="000000"/>
        </w:rPr>
        <w:t xml:space="preserve"> pisemnego informowania przez Fundusz deponentów, którzy nie od</w:t>
      </w:r>
      <w:r w:rsidR="001D4CE0">
        <w:rPr>
          <w:rFonts w:eastAsia="Times New Roman" w:cs="Calibri Light"/>
          <w:color w:val="000000"/>
        </w:rPr>
        <w:t>ebrali środków gwarantowanych w </w:t>
      </w:r>
      <w:r w:rsidRPr="00787E3A">
        <w:rPr>
          <w:rFonts w:eastAsia="Times New Roman" w:cs="Calibri Light"/>
          <w:color w:val="000000"/>
        </w:rPr>
        <w:t>wysokości przekraczającej określoną kwotę, o ustawowym ter</w:t>
      </w:r>
      <w:r w:rsidR="001D4CE0">
        <w:rPr>
          <w:rFonts w:eastAsia="Times New Roman" w:cs="Calibri Light"/>
          <w:color w:val="000000"/>
        </w:rPr>
        <w:t>minie przedawnienia roszczeń z </w:t>
      </w:r>
      <w:r w:rsidRPr="00787E3A">
        <w:rPr>
          <w:rFonts w:eastAsia="Times New Roman" w:cs="Calibri Light"/>
          <w:color w:val="000000"/>
        </w:rPr>
        <w:t>tytułu gwarancji</w:t>
      </w:r>
      <w:r>
        <w:rPr>
          <w:rFonts w:eastAsia="Times New Roman" w:cs="Calibri Light"/>
          <w:color w:val="000000"/>
        </w:rPr>
        <w:t xml:space="preserve">, </w:t>
      </w:r>
      <w:r>
        <w:rPr>
          <w:rFonts w:eastAsia="Times New Roman" w:cs="Calibri Light"/>
          <w:bCs/>
          <w:color w:val="000000"/>
        </w:rPr>
        <w:t xml:space="preserve">Fundusz w lipcu 2022 r. przesłał Komunikat BFG informujący </w:t>
      </w:r>
      <w:r w:rsidRPr="00FA3469">
        <w:rPr>
          <w:rFonts w:eastAsia="Times New Roman" w:cs="Calibri Light"/>
          <w:bCs/>
          <w:color w:val="000000"/>
        </w:rPr>
        <w:t xml:space="preserve">deponentów </w:t>
      </w:r>
      <w:r w:rsidRPr="00524E13">
        <w:rPr>
          <w:rFonts w:eastAsia="Times New Roman" w:cs="Calibri Light"/>
          <w:bCs/>
          <w:color w:val="000000"/>
        </w:rPr>
        <w:t>Wielkopolskiej SKOK, Twojej</w:t>
      </w:r>
      <w:r w:rsidRPr="00524E13">
        <w:rPr>
          <w:rFonts w:eastAsia="Times New Roman" w:cs="Calibri Light"/>
          <w:color w:val="000000"/>
        </w:rPr>
        <w:t xml:space="preserve"> </w:t>
      </w:r>
      <w:r w:rsidRPr="00524E13">
        <w:rPr>
          <w:rFonts w:eastAsia="Times New Roman" w:cs="Calibri Light"/>
          <w:bCs/>
          <w:color w:val="000000"/>
        </w:rPr>
        <w:t>SKOK, SKOK „Nike” i SKOK „Wybrzeże”</w:t>
      </w:r>
      <w:r>
        <w:rPr>
          <w:rFonts w:eastAsia="Times New Roman" w:cs="Calibri Light"/>
          <w:bCs/>
          <w:color w:val="000000"/>
        </w:rPr>
        <w:t xml:space="preserve"> </w:t>
      </w:r>
      <w:r w:rsidRPr="00FA3469">
        <w:rPr>
          <w:rFonts w:eastAsia="Times New Roman" w:cs="Calibri Light"/>
          <w:bCs/>
          <w:color w:val="000000"/>
        </w:rPr>
        <w:t>o ustawowym terminie p</w:t>
      </w:r>
      <w:r>
        <w:rPr>
          <w:rFonts w:eastAsia="Times New Roman" w:cs="Calibri Light"/>
          <w:bCs/>
          <w:color w:val="000000"/>
        </w:rPr>
        <w:t xml:space="preserve">rzedawnienia roszczeń z tytułu gwarancji z dniem 2 stycznia 2023 r. </w:t>
      </w:r>
    </w:p>
    <w:p w:rsidR="00ED3098" w:rsidRPr="0097193F" w:rsidRDefault="00ED3098" w:rsidP="001D4CE0">
      <w:pPr>
        <w:spacing w:before="120" w:after="120"/>
        <w:rPr>
          <w:rFonts w:eastAsia="Times New Roman" w:cs="Calibri Light"/>
          <w:bCs/>
          <w:color w:val="000000"/>
        </w:rPr>
      </w:pPr>
      <w:r>
        <w:rPr>
          <w:rFonts w:eastAsia="Times New Roman" w:cs="Calibri Light"/>
          <w:bCs/>
          <w:color w:val="000000"/>
        </w:rPr>
        <w:t>Biorąc pod uwagę przyjętą graniczną wysokość roszczenia de</w:t>
      </w:r>
      <w:r w:rsidR="001D4CE0">
        <w:rPr>
          <w:rFonts w:eastAsia="Times New Roman" w:cs="Calibri Light"/>
          <w:bCs/>
          <w:color w:val="000000"/>
        </w:rPr>
        <w:t>ponenta z tytułu gwarancji, tj. </w:t>
      </w:r>
      <w:r w:rsidRPr="00524E13">
        <w:rPr>
          <w:rFonts w:eastAsia="Times New Roman" w:cs="Calibri Light"/>
          <w:bCs/>
          <w:color w:val="000000"/>
        </w:rPr>
        <w:t>równ</w:t>
      </w:r>
      <w:r>
        <w:rPr>
          <w:rFonts w:eastAsia="Times New Roman" w:cs="Calibri Light"/>
          <w:bCs/>
          <w:color w:val="000000"/>
        </w:rPr>
        <w:t>ą</w:t>
      </w:r>
      <w:r w:rsidRPr="00524E13">
        <w:rPr>
          <w:rFonts w:eastAsia="Times New Roman" w:cs="Calibri Light"/>
          <w:bCs/>
          <w:color w:val="000000"/>
        </w:rPr>
        <w:t xml:space="preserve"> lub przewyższając</w:t>
      </w:r>
      <w:r>
        <w:rPr>
          <w:rFonts w:eastAsia="Times New Roman" w:cs="Calibri Light"/>
          <w:bCs/>
          <w:color w:val="000000"/>
        </w:rPr>
        <w:t>ą</w:t>
      </w:r>
      <w:r w:rsidRPr="00524E13">
        <w:rPr>
          <w:rFonts w:eastAsia="Times New Roman" w:cs="Calibri Light"/>
          <w:bCs/>
          <w:color w:val="000000"/>
        </w:rPr>
        <w:t xml:space="preserve"> 1 000 zł</w:t>
      </w:r>
      <w:r>
        <w:rPr>
          <w:rFonts w:eastAsia="Times New Roman" w:cs="Calibri Light"/>
          <w:bCs/>
          <w:color w:val="000000"/>
        </w:rPr>
        <w:t xml:space="preserve">, Komunikat BFG został wysłany do 666 deponentów </w:t>
      </w:r>
      <w:r w:rsidRPr="001B1625">
        <w:rPr>
          <w:rFonts w:eastAsia="Times New Roman" w:cs="Calibri Light"/>
          <w:color w:val="000000"/>
        </w:rPr>
        <w:t>lub ich następców prawnych</w:t>
      </w:r>
      <w:r>
        <w:rPr>
          <w:rFonts w:eastAsia="Times New Roman" w:cs="Calibri Light"/>
          <w:bCs/>
          <w:color w:val="000000"/>
        </w:rPr>
        <w:t>.</w:t>
      </w:r>
    </w:p>
    <w:p w:rsidR="00ED3098" w:rsidRDefault="00ED3098" w:rsidP="00A40D1E">
      <w:pPr>
        <w:spacing w:after="120"/>
        <w:rPr>
          <w:rStyle w:val="Pogrubienie"/>
          <w:color w:val="000000" w:themeColor="text1"/>
          <w:shd w:val="clear" w:color="auto" w:fill="FFFFFF"/>
        </w:rPr>
      </w:pPr>
      <w:r>
        <w:rPr>
          <w:rFonts w:eastAsia="Times New Roman" w:cs="Calibri Light"/>
          <w:bCs/>
          <w:color w:val="000000"/>
        </w:rPr>
        <w:t>W</w:t>
      </w:r>
      <w:r w:rsidRPr="00FA3469">
        <w:rPr>
          <w:rFonts w:eastAsia="Times New Roman" w:cs="Calibri Light"/>
          <w:bCs/>
          <w:color w:val="000000"/>
        </w:rPr>
        <w:t xml:space="preserve"> tabel</w:t>
      </w:r>
      <w:r>
        <w:rPr>
          <w:rFonts w:eastAsia="Times New Roman" w:cs="Calibri Light"/>
          <w:bCs/>
          <w:color w:val="000000"/>
        </w:rPr>
        <w:t>i poniżej</w:t>
      </w:r>
      <w:r w:rsidRPr="00FA3469">
        <w:rPr>
          <w:rFonts w:eastAsia="Times New Roman" w:cs="Calibri Light"/>
          <w:bCs/>
          <w:color w:val="000000"/>
        </w:rPr>
        <w:t xml:space="preserve"> prze</w:t>
      </w:r>
      <w:r>
        <w:rPr>
          <w:rFonts w:eastAsia="Times New Roman" w:cs="Calibri Light"/>
          <w:bCs/>
          <w:color w:val="000000"/>
        </w:rPr>
        <w:t xml:space="preserve">dstawiono liczbę Komunikatów BFG </w:t>
      </w:r>
      <w:r w:rsidRPr="00FA3469">
        <w:rPr>
          <w:rFonts w:eastAsia="Times New Roman" w:cs="Calibri Light"/>
          <w:bCs/>
          <w:color w:val="000000"/>
        </w:rPr>
        <w:t>wysył</w:t>
      </w:r>
      <w:r>
        <w:rPr>
          <w:rFonts w:eastAsia="Times New Roman" w:cs="Calibri Light"/>
          <w:bCs/>
          <w:color w:val="000000"/>
        </w:rPr>
        <w:t>anych</w:t>
      </w:r>
      <w:r w:rsidRPr="00FA3469">
        <w:rPr>
          <w:rFonts w:eastAsia="Times New Roman" w:cs="Calibri Light"/>
          <w:bCs/>
          <w:color w:val="000000"/>
        </w:rPr>
        <w:t xml:space="preserve"> przez Fundusz </w:t>
      </w:r>
      <w:r>
        <w:rPr>
          <w:rFonts w:eastAsia="Times New Roman" w:cs="Calibri Light"/>
          <w:bCs/>
          <w:color w:val="000000"/>
        </w:rPr>
        <w:t>w podziale na poszczególne kasy</w:t>
      </w:r>
      <w:r w:rsidRPr="00FA3469">
        <w:rPr>
          <w:rFonts w:eastAsia="Times New Roman" w:cs="Calibri Light"/>
          <w:bCs/>
          <w:color w:val="000000"/>
        </w:rPr>
        <w:t xml:space="preserve">. </w:t>
      </w:r>
    </w:p>
    <w:p w:rsidR="00ED3098" w:rsidRDefault="00ED3098" w:rsidP="001D4CE0">
      <w:pPr>
        <w:pStyle w:val="Akapitzlist"/>
        <w:spacing w:after="60"/>
        <w:ind w:left="0" w:firstLine="0"/>
        <w:contextualSpacing w:val="0"/>
        <w:rPr>
          <w:rFonts w:eastAsia="Times New Roman" w:cs="Calibri Light"/>
          <w:b/>
          <w:bCs/>
          <w:sz w:val="22"/>
          <w:szCs w:val="22"/>
        </w:rPr>
      </w:pPr>
      <w:r w:rsidRPr="005F2A01">
        <w:rPr>
          <w:rFonts w:eastAsia="Times New Roman" w:cs="Calibri Light"/>
          <w:b/>
          <w:sz w:val="22"/>
          <w:szCs w:val="22"/>
        </w:rPr>
        <w:t xml:space="preserve">Tabela </w:t>
      </w:r>
      <w:r w:rsidR="005D1A1E">
        <w:rPr>
          <w:rFonts w:eastAsia="Times New Roman" w:cs="Calibri Light"/>
          <w:b/>
          <w:sz w:val="22"/>
          <w:szCs w:val="22"/>
        </w:rPr>
        <w:t>8</w:t>
      </w:r>
      <w:r w:rsidRPr="005F2A01">
        <w:rPr>
          <w:rFonts w:eastAsia="Times New Roman" w:cs="Calibri Light"/>
          <w:b/>
          <w:sz w:val="22"/>
          <w:szCs w:val="22"/>
        </w:rPr>
        <w:t xml:space="preserve">. </w:t>
      </w:r>
      <w:r>
        <w:rPr>
          <w:rFonts w:eastAsia="Times New Roman" w:cs="Calibri Light"/>
          <w:b/>
          <w:sz w:val="22"/>
          <w:szCs w:val="22"/>
        </w:rPr>
        <w:t xml:space="preserve">Liczba wysłanych Komunikatów BFG, w przypadku </w:t>
      </w:r>
      <w:r w:rsidRPr="00694D23">
        <w:rPr>
          <w:rFonts w:eastAsia="Times New Roman" w:cs="Calibri Light"/>
          <w:b/>
          <w:sz w:val="22"/>
          <w:szCs w:val="22"/>
        </w:rPr>
        <w:t xml:space="preserve">roszczenia deponenta z tytułu gwarancji </w:t>
      </w:r>
      <w:r w:rsidRPr="00694D23">
        <w:rPr>
          <w:rFonts w:eastAsia="Times New Roman" w:cs="Calibri Light"/>
          <w:b/>
          <w:bCs/>
          <w:sz w:val="22"/>
          <w:szCs w:val="22"/>
        </w:rPr>
        <w:t>równe</w:t>
      </w:r>
      <w:r>
        <w:rPr>
          <w:rFonts w:eastAsia="Times New Roman" w:cs="Calibri Light"/>
          <w:b/>
          <w:bCs/>
          <w:sz w:val="22"/>
          <w:szCs w:val="22"/>
        </w:rPr>
        <w:t>j lub przewyższającej 1 000 zł</w:t>
      </w:r>
    </w:p>
    <w:tbl>
      <w:tblPr>
        <w:tblStyle w:val="Tabela-Siatka"/>
        <w:tblW w:w="0" w:type="auto"/>
        <w:tblLook w:val="04A0" w:firstRow="1" w:lastRow="0" w:firstColumn="1" w:lastColumn="0" w:noHBand="0" w:noVBand="1"/>
      </w:tblPr>
      <w:tblGrid>
        <w:gridCol w:w="1980"/>
        <w:gridCol w:w="1757"/>
        <w:gridCol w:w="1869"/>
        <w:gridCol w:w="1869"/>
        <w:gridCol w:w="1869"/>
      </w:tblGrid>
      <w:tr w:rsidR="00036F42" w:rsidTr="00036F42">
        <w:tc>
          <w:tcPr>
            <w:tcW w:w="1980" w:type="dxa"/>
            <w:vMerge w:val="restart"/>
            <w:shd w:val="clear" w:color="auto" w:fill="2A5384"/>
          </w:tcPr>
          <w:p w:rsidR="00036F42" w:rsidRDefault="00036F42" w:rsidP="00036F42">
            <w:pPr>
              <w:pStyle w:val="Akapitzlist"/>
              <w:spacing w:after="60"/>
              <w:ind w:left="0" w:firstLine="0"/>
              <w:jc w:val="center"/>
              <w:rPr>
                <w:rFonts w:eastAsia="Times New Roman" w:cs="Calibri Light"/>
                <w:b/>
                <w:bCs/>
                <w:sz w:val="22"/>
                <w:szCs w:val="22"/>
              </w:rPr>
            </w:pPr>
            <w:r w:rsidRPr="001D4CE0">
              <w:rPr>
                <w:rFonts w:cs="Calibri Light"/>
                <w:b/>
                <w:bCs/>
                <w:color w:val="FFFFFF" w:themeColor="background1"/>
                <w:sz w:val="18"/>
                <w:szCs w:val="18"/>
              </w:rPr>
              <w:t>Wysokość roszczenia z tytułu środków gwarantowanych (w zł)</w:t>
            </w:r>
          </w:p>
        </w:tc>
        <w:tc>
          <w:tcPr>
            <w:tcW w:w="7364" w:type="dxa"/>
            <w:gridSpan w:val="4"/>
            <w:shd w:val="clear" w:color="auto" w:fill="2A5384"/>
          </w:tcPr>
          <w:p w:rsidR="00036F42" w:rsidRDefault="00036F42" w:rsidP="00036F42">
            <w:pPr>
              <w:pStyle w:val="Akapitzlist"/>
              <w:spacing w:after="60"/>
              <w:ind w:left="0" w:firstLine="0"/>
              <w:jc w:val="center"/>
              <w:rPr>
                <w:rFonts w:eastAsia="Times New Roman" w:cs="Calibri Light"/>
                <w:b/>
                <w:bCs/>
                <w:sz w:val="22"/>
                <w:szCs w:val="22"/>
              </w:rPr>
            </w:pPr>
            <w:r w:rsidRPr="001D4CE0">
              <w:rPr>
                <w:rFonts w:cs="Calibri Light"/>
                <w:b/>
                <w:bCs/>
                <w:color w:val="FFFFFF" w:themeColor="background1"/>
                <w:sz w:val="18"/>
                <w:szCs w:val="18"/>
              </w:rPr>
              <w:t>Liczba wysłanych pism</w:t>
            </w:r>
          </w:p>
        </w:tc>
      </w:tr>
      <w:tr w:rsidR="00036F42" w:rsidTr="00036F42">
        <w:tc>
          <w:tcPr>
            <w:tcW w:w="1980" w:type="dxa"/>
            <w:vMerge/>
            <w:shd w:val="clear" w:color="auto" w:fill="2A5384"/>
          </w:tcPr>
          <w:p w:rsidR="00036F42" w:rsidRDefault="00036F42" w:rsidP="00036F42">
            <w:pPr>
              <w:pStyle w:val="Akapitzlist"/>
              <w:spacing w:after="60"/>
              <w:ind w:left="0" w:firstLine="0"/>
              <w:rPr>
                <w:rFonts w:eastAsia="Times New Roman" w:cs="Calibri Light"/>
                <w:b/>
                <w:bCs/>
                <w:sz w:val="22"/>
                <w:szCs w:val="22"/>
              </w:rPr>
            </w:pPr>
          </w:p>
        </w:tc>
        <w:tc>
          <w:tcPr>
            <w:tcW w:w="1757" w:type="dxa"/>
            <w:shd w:val="clear" w:color="auto" w:fill="DBE5F1"/>
            <w:vAlign w:val="center"/>
          </w:tcPr>
          <w:p w:rsidR="00036F42" w:rsidRDefault="00036F42" w:rsidP="00036F42">
            <w:pPr>
              <w:pStyle w:val="Akapitzlist"/>
              <w:spacing w:after="60"/>
              <w:ind w:left="0" w:firstLine="0"/>
              <w:jc w:val="center"/>
              <w:rPr>
                <w:rFonts w:eastAsia="Times New Roman" w:cs="Calibri Light"/>
                <w:b/>
                <w:bCs/>
                <w:sz w:val="22"/>
                <w:szCs w:val="22"/>
              </w:rPr>
            </w:pPr>
            <w:r w:rsidRPr="001D4CE0">
              <w:rPr>
                <w:rFonts w:cs="Calibri Light"/>
                <w:b/>
                <w:bCs/>
                <w:sz w:val="18"/>
                <w:szCs w:val="18"/>
              </w:rPr>
              <w:t>Wielkopolska</w:t>
            </w:r>
            <w:r w:rsidRPr="001D4CE0">
              <w:rPr>
                <w:rFonts w:cs="Calibri Light"/>
                <w:b/>
                <w:bCs/>
                <w:sz w:val="18"/>
                <w:szCs w:val="18"/>
              </w:rPr>
              <w:br/>
              <w:t>SKOK</w:t>
            </w:r>
          </w:p>
        </w:tc>
        <w:tc>
          <w:tcPr>
            <w:tcW w:w="1869" w:type="dxa"/>
            <w:shd w:val="clear" w:color="auto" w:fill="DBE5F1"/>
            <w:vAlign w:val="center"/>
          </w:tcPr>
          <w:p w:rsidR="00036F42" w:rsidRDefault="00036F42" w:rsidP="00036F42">
            <w:pPr>
              <w:pStyle w:val="Akapitzlist"/>
              <w:spacing w:after="60"/>
              <w:ind w:left="0" w:firstLine="0"/>
              <w:jc w:val="center"/>
              <w:rPr>
                <w:rFonts w:eastAsia="Times New Roman" w:cs="Calibri Light"/>
                <w:b/>
                <w:bCs/>
                <w:sz w:val="22"/>
                <w:szCs w:val="22"/>
              </w:rPr>
            </w:pPr>
            <w:r w:rsidRPr="001D4CE0">
              <w:rPr>
                <w:rFonts w:cs="Calibri Light"/>
                <w:b/>
                <w:bCs/>
                <w:sz w:val="18"/>
                <w:szCs w:val="18"/>
              </w:rPr>
              <w:t>Twoja SKOK</w:t>
            </w:r>
          </w:p>
        </w:tc>
        <w:tc>
          <w:tcPr>
            <w:tcW w:w="1869" w:type="dxa"/>
            <w:shd w:val="clear" w:color="auto" w:fill="DBE5F1"/>
            <w:vAlign w:val="center"/>
          </w:tcPr>
          <w:p w:rsidR="00036F42" w:rsidRDefault="00036F42" w:rsidP="00036F42">
            <w:pPr>
              <w:pStyle w:val="Akapitzlist"/>
              <w:spacing w:after="60"/>
              <w:ind w:left="0" w:firstLine="0"/>
              <w:jc w:val="center"/>
              <w:rPr>
                <w:rFonts w:eastAsia="Times New Roman" w:cs="Calibri Light"/>
                <w:b/>
                <w:bCs/>
                <w:sz w:val="22"/>
                <w:szCs w:val="22"/>
              </w:rPr>
            </w:pPr>
            <w:r w:rsidRPr="001D4CE0">
              <w:rPr>
                <w:rFonts w:cs="Calibri Light"/>
                <w:b/>
                <w:bCs/>
                <w:sz w:val="18"/>
                <w:szCs w:val="18"/>
              </w:rPr>
              <w:t>SKOK „Nike"</w:t>
            </w:r>
          </w:p>
        </w:tc>
        <w:tc>
          <w:tcPr>
            <w:tcW w:w="1869" w:type="dxa"/>
            <w:shd w:val="clear" w:color="auto" w:fill="DBE5F1"/>
            <w:vAlign w:val="center"/>
          </w:tcPr>
          <w:p w:rsidR="00036F42" w:rsidRDefault="00036F42" w:rsidP="00036F42">
            <w:pPr>
              <w:pStyle w:val="Akapitzlist"/>
              <w:spacing w:after="60"/>
              <w:ind w:left="0" w:firstLine="0"/>
              <w:jc w:val="center"/>
              <w:rPr>
                <w:rFonts w:eastAsia="Times New Roman" w:cs="Calibri Light"/>
                <w:b/>
                <w:bCs/>
                <w:sz w:val="22"/>
                <w:szCs w:val="22"/>
              </w:rPr>
            </w:pPr>
            <w:r w:rsidRPr="001D4CE0">
              <w:rPr>
                <w:rFonts w:cs="Calibri Light"/>
                <w:b/>
                <w:bCs/>
                <w:sz w:val="18"/>
                <w:szCs w:val="18"/>
              </w:rPr>
              <w:t>SKOK „Wybrzeże"</w:t>
            </w:r>
          </w:p>
        </w:tc>
      </w:tr>
      <w:tr w:rsidR="00036F42" w:rsidTr="00036F42">
        <w:tc>
          <w:tcPr>
            <w:tcW w:w="1980" w:type="dxa"/>
          </w:tcPr>
          <w:p w:rsidR="00036F42" w:rsidRDefault="00036F42" w:rsidP="00036F42">
            <w:pPr>
              <w:pStyle w:val="Akapitzlist"/>
              <w:spacing w:after="60"/>
              <w:ind w:left="0" w:firstLine="0"/>
              <w:jc w:val="center"/>
              <w:rPr>
                <w:rFonts w:eastAsia="Times New Roman" w:cs="Calibri Light"/>
                <w:b/>
                <w:bCs/>
                <w:sz w:val="22"/>
                <w:szCs w:val="22"/>
              </w:rPr>
            </w:pPr>
            <w:r w:rsidRPr="001D4CE0">
              <w:rPr>
                <w:rFonts w:cs="Calibri Light"/>
                <w:color w:val="000000"/>
                <w:sz w:val="18"/>
                <w:szCs w:val="18"/>
              </w:rPr>
              <w:t>≥</w:t>
            </w:r>
            <w:r>
              <w:rPr>
                <w:rFonts w:cs="Calibri Light"/>
                <w:color w:val="000000"/>
                <w:sz w:val="18"/>
                <w:szCs w:val="18"/>
              </w:rPr>
              <w:t xml:space="preserve"> 1 000</w:t>
            </w:r>
          </w:p>
        </w:tc>
        <w:tc>
          <w:tcPr>
            <w:tcW w:w="1757" w:type="dxa"/>
          </w:tcPr>
          <w:p w:rsidR="00036F42" w:rsidRPr="00036F42" w:rsidRDefault="00036F42" w:rsidP="00036F42">
            <w:pPr>
              <w:pStyle w:val="Akapitzlist"/>
              <w:spacing w:after="60"/>
              <w:ind w:left="0" w:firstLine="0"/>
              <w:jc w:val="center"/>
              <w:rPr>
                <w:rFonts w:eastAsia="Times New Roman" w:cs="Calibri Light"/>
                <w:bCs/>
                <w:sz w:val="18"/>
                <w:szCs w:val="18"/>
              </w:rPr>
            </w:pPr>
            <w:r w:rsidRPr="00036F42">
              <w:rPr>
                <w:rFonts w:eastAsia="Times New Roman" w:cs="Calibri Light"/>
                <w:bCs/>
                <w:sz w:val="18"/>
                <w:szCs w:val="18"/>
              </w:rPr>
              <w:t>179</w:t>
            </w:r>
          </w:p>
        </w:tc>
        <w:tc>
          <w:tcPr>
            <w:tcW w:w="1869" w:type="dxa"/>
          </w:tcPr>
          <w:p w:rsidR="00036F42" w:rsidRPr="00036F42" w:rsidRDefault="00036F42" w:rsidP="00036F42">
            <w:pPr>
              <w:pStyle w:val="Akapitzlist"/>
              <w:spacing w:after="60"/>
              <w:ind w:left="0" w:firstLine="0"/>
              <w:jc w:val="center"/>
              <w:rPr>
                <w:rFonts w:eastAsia="Times New Roman" w:cs="Calibri Light"/>
                <w:bCs/>
                <w:sz w:val="18"/>
                <w:szCs w:val="18"/>
              </w:rPr>
            </w:pPr>
            <w:r w:rsidRPr="00036F42">
              <w:rPr>
                <w:rFonts w:eastAsia="Times New Roman" w:cs="Calibri Light"/>
                <w:bCs/>
                <w:sz w:val="18"/>
                <w:szCs w:val="18"/>
              </w:rPr>
              <w:t>169</w:t>
            </w:r>
          </w:p>
        </w:tc>
        <w:tc>
          <w:tcPr>
            <w:tcW w:w="1869" w:type="dxa"/>
          </w:tcPr>
          <w:p w:rsidR="00036F42" w:rsidRPr="00036F42" w:rsidRDefault="00036F42" w:rsidP="00036F42">
            <w:pPr>
              <w:pStyle w:val="Akapitzlist"/>
              <w:spacing w:after="60"/>
              <w:ind w:left="0" w:firstLine="0"/>
              <w:jc w:val="center"/>
              <w:rPr>
                <w:rFonts w:eastAsia="Times New Roman" w:cs="Calibri Light"/>
                <w:bCs/>
                <w:sz w:val="18"/>
                <w:szCs w:val="18"/>
              </w:rPr>
            </w:pPr>
            <w:r w:rsidRPr="00036F42">
              <w:rPr>
                <w:rFonts w:eastAsia="Times New Roman" w:cs="Calibri Light"/>
                <w:bCs/>
                <w:sz w:val="18"/>
                <w:szCs w:val="18"/>
              </w:rPr>
              <w:t>191</w:t>
            </w:r>
          </w:p>
        </w:tc>
        <w:tc>
          <w:tcPr>
            <w:tcW w:w="1869" w:type="dxa"/>
          </w:tcPr>
          <w:p w:rsidR="00036F42" w:rsidRPr="00036F42" w:rsidRDefault="00036F42" w:rsidP="00036F42">
            <w:pPr>
              <w:pStyle w:val="Akapitzlist"/>
              <w:spacing w:after="60"/>
              <w:ind w:left="0" w:firstLine="0"/>
              <w:jc w:val="center"/>
              <w:rPr>
                <w:rFonts w:eastAsia="Times New Roman" w:cs="Calibri Light"/>
                <w:bCs/>
                <w:sz w:val="18"/>
                <w:szCs w:val="18"/>
              </w:rPr>
            </w:pPr>
            <w:r w:rsidRPr="00036F42">
              <w:rPr>
                <w:rFonts w:eastAsia="Times New Roman" w:cs="Calibri Light"/>
                <w:bCs/>
                <w:sz w:val="18"/>
                <w:szCs w:val="18"/>
              </w:rPr>
              <w:t>127</w:t>
            </w:r>
          </w:p>
        </w:tc>
      </w:tr>
    </w:tbl>
    <w:p w:rsidR="00FD1099" w:rsidRPr="00DF679D" w:rsidRDefault="00FD1099" w:rsidP="0076523D">
      <w:pPr>
        <w:pStyle w:val="Nagwek1"/>
        <w:spacing w:before="240" w:after="0"/>
        <w:rPr>
          <w:rFonts w:cs="Calibri Light"/>
        </w:rPr>
      </w:pPr>
      <w:bookmarkStart w:id="51" w:name="_Toc32571602"/>
      <w:bookmarkStart w:id="52" w:name="_Toc34836166"/>
      <w:bookmarkStart w:id="53" w:name="_Toc116304519"/>
      <w:r w:rsidRPr="00DF679D">
        <w:rPr>
          <w:rFonts w:cs="Calibri Light"/>
        </w:rPr>
        <w:t xml:space="preserve">Część </w:t>
      </w:r>
      <w:r w:rsidR="00C24561" w:rsidRPr="00DF679D">
        <w:rPr>
          <w:rFonts w:cs="Calibri Light"/>
        </w:rPr>
        <w:t>2</w:t>
      </w:r>
      <w:hyperlink w:anchor="_Toc470689392" w:history="1">
        <w:r w:rsidRPr="00DF679D">
          <w:rPr>
            <w:rFonts w:cs="Calibri Light"/>
          </w:rPr>
          <w:t>.</w:t>
        </w:r>
      </w:hyperlink>
      <w:r w:rsidRPr="00DF679D">
        <w:rPr>
          <w:rFonts w:cs="Calibri Light"/>
        </w:rPr>
        <w:t xml:space="preserve"> Restrukturyzacja</w:t>
      </w:r>
      <w:bookmarkEnd w:id="51"/>
      <w:bookmarkEnd w:id="52"/>
      <w:bookmarkEnd w:id="53"/>
    </w:p>
    <w:p w:rsidR="00FD1099" w:rsidRDefault="00FD1099" w:rsidP="0076523D">
      <w:pPr>
        <w:pStyle w:val="Nagwek2"/>
        <w:numPr>
          <w:ilvl w:val="0"/>
          <w:numId w:val="1"/>
        </w:numPr>
        <w:spacing w:before="120" w:after="100"/>
        <w:ind w:left="425" w:hanging="425"/>
        <w:rPr>
          <w:rFonts w:cs="Calibri Light"/>
        </w:rPr>
      </w:pPr>
      <w:bookmarkStart w:id="54" w:name="_Toc32571603"/>
      <w:bookmarkStart w:id="55" w:name="_Toc34836167"/>
      <w:bookmarkStart w:id="56" w:name="_Toc116304520"/>
      <w:r w:rsidRPr="00DF679D">
        <w:rPr>
          <w:rFonts w:cs="Calibri Light"/>
        </w:rPr>
        <w:t>Realizacja zadań związanych z</w:t>
      </w:r>
      <w:r w:rsidR="00F22362" w:rsidRPr="00DF679D">
        <w:rPr>
          <w:rFonts w:cs="Calibri Light"/>
        </w:rPr>
        <w:t xml:space="preserve"> </w:t>
      </w:r>
      <w:r w:rsidRPr="00DF679D">
        <w:rPr>
          <w:rFonts w:cs="Calibri Light"/>
        </w:rPr>
        <w:t>opracowaniem, przeglądem, oceną wykonalności i aktualizacją planów przymusowej restrukturyzacji i grupowych planów przymusowej restrukturyzacji</w:t>
      </w:r>
      <w:bookmarkEnd w:id="54"/>
      <w:bookmarkEnd w:id="55"/>
      <w:bookmarkEnd w:id="56"/>
    </w:p>
    <w:p w:rsidR="005C2DA4" w:rsidRDefault="005C2DA4" w:rsidP="00730641">
      <w:pPr>
        <w:spacing w:before="200" w:after="120"/>
      </w:pPr>
      <w:r w:rsidRPr="002728E1">
        <w:t>W II</w:t>
      </w:r>
      <w:r>
        <w:t>I</w:t>
      </w:r>
      <w:r w:rsidRPr="002728E1">
        <w:t xml:space="preserve"> kwartale br. Fundusz prowadził prace związane z przeglądem planów przymusowej restrukturyzacji i grupowych planów przymusowej restrukturyzacji dla podmiotów, dla których, zgodnie z uchwałą Zarządu Funduszu, plany przymusowej restrukturyzacji są przedmiotem przeglądu w 2022 r., m.in. w zakresie analizy informacji przesłanych przez podmioty, na wniosek Funduszu.</w:t>
      </w:r>
    </w:p>
    <w:p w:rsidR="005C2DA4" w:rsidRDefault="005C2DA4" w:rsidP="00730641">
      <w:pPr>
        <w:spacing w:after="120"/>
      </w:pPr>
      <w:r>
        <w:t>W sierpniu i we wrześniu 2022 r. Fundusz zwrócił się do Komisji Nadzoru Finansowego o wyrażenie opinii w zakresie wysokości</w:t>
      </w:r>
      <w:r w:rsidR="000E041E">
        <w:t xml:space="preserve"> MREL określonej dla pięciu nie bankowych</w:t>
      </w:r>
      <w:r>
        <w:t xml:space="preserve"> firm inwestycyjnych oraz </w:t>
      </w:r>
      <w:r w:rsidR="000E041E">
        <w:t>sześciu</w:t>
      </w:r>
      <w:r>
        <w:t xml:space="preserve"> banków komercyjnych, dla których plany przymusowej restrukturyzacji są przedmiotem przeglądu w 2022 r.</w:t>
      </w:r>
    </w:p>
    <w:p w:rsidR="005C2DA4" w:rsidRDefault="005C2DA4" w:rsidP="00667104">
      <w:pPr>
        <w:spacing w:after="120"/>
      </w:pPr>
      <w:r>
        <w:t xml:space="preserve">Ponadto, </w:t>
      </w:r>
      <w:r w:rsidR="004C3108">
        <w:t xml:space="preserve">we </w:t>
      </w:r>
      <w:r>
        <w:t xml:space="preserve">wrześniu 2022 r. Fundusz zwrócił się do </w:t>
      </w:r>
      <w:r w:rsidR="004C3108">
        <w:t>KNF</w:t>
      </w:r>
      <w:r>
        <w:t xml:space="preserve"> o wyrażenie opinii w zakresie wysokości MREL oraz o opini</w:t>
      </w:r>
      <w:r w:rsidR="000E041E">
        <w:t>ę</w:t>
      </w:r>
      <w:r>
        <w:t xml:space="preserve"> dot</w:t>
      </w:r>
      <w:r w:rsidR="000E041E">
        <w:t>yczącą</w:t>
      </w:r>
      <w:r>
        <w:t xml:space="preserve"> wkładu do planu </w:t>
      </w:r>
      <w:r w:rsidR="000E041E">
        <w:t>grupowego dla</w:t>
      </w:r>
      <w:r>
        <w:t xml:space="preserve"> banku komercyjnego.</w:t>
      </w:r>
    </w:p>
    <w:p w:rsidR="005C2DA4" w:rsidRPr="00EB4C1C" w:rsidRDefault="005C2DA4" w:rsidP="005C2DA4">
      <w:pPr>
        <w:spacing w:after="120"/>
      </w:pPr>
      <w:r>
        <w:t>W III kw</w:t>
      </w:r>
      <w:r w:rsidR="000E041E">
        <w:t>artale br.</w:t>
      </w:r>
      <w:r>
        <w:t xml:space="preserve"> </w:t>
      </w:r>
      <w:r w:rsidRPr="00EB4C1C">
        <w:t xml:space="preserve">Fundusz </w:t>
      </w:r>
      <w:r>
        <w:t>kontynuował prace</w:t>
      </w:r>
      <w:r w:rsidRPr="00EB4C1C">
        <w:t xml:space="preserve"> nad przygotowaniem wytycznych dla podręcznika umorzenia i konwersji dla czterech banków</w:t>
      </w:r>
      <w:r>
        <w:t xml:space="preserve"> będących podmiotami zależnymi grup</w:t>
      </w:r>
      <w:r w:rsidRPr="00EB4C1C">
        <w:t xml:space="preserve"> transgranicznych ze strategią SPE.</w:t>
      </w:r>
    </w:p>
    <w:p w:rsidR="005C2DA4" w:rsidRDefault="005C2DA4" w:rsidP="005D1A1E">
      <w:pPr>
        <w:spacing w:after="120"/>
      </w:pPr>
      <w:r>
        <w:t>W związku z dotychczasowymi naruszeniami przez podmio</w:t>
      </w:r>
      <w:r w:rsidR="004C3108">
        <w:t>ty wymogów Fundusz prowadził w </w:t>
      </w:r>
      <w:r w:rsidR="000E041E">
        <w:t>okresie sprawozdawczym</w:t>
      </w:r>
      <w:r>
        <w:t xml:space="preserve"> następujące działania: </w:t>
      </w:r>
    </w:p>
    <w:p w:rsidR="005C2DA4" w:rsidRDefault="005C2DA4" w:rsidP="008004CF">
      <w:pPr>
        <w:pStyle w:val="Akapitzlist"/>
        <w:numPr>
          <w:ilvl w:val="0"/>
          <w:numId w:val="22"/>
        </w:numPr>
        <w:spacing w:after="120"/>
        <w:ind w:left="714" w:hanging="357"/>
      </w:pPr>
      <w:r w:rsidRPr="000756A6">
        <w:t xml:space="preserve">kontynuował </w:t>
      </w:r>
      <w:r>
        <w:t>procedurę w sprawie wydania zaleceń</w:t>
      </w:r>
      <w:r w:rsidRPr="000756A6">
        <w:t xml:space="preserve"> w odniesieniu do </w:t>
      </w:r>
      <w:r>
        <w:t>Getin Noble Bank</w:t>
      </w:r>
      <w:r w:rsidR="000E041E">
        <w:t xml:space="preserve"> S.A.</w:t>
      </w:r>
      <w:r w:rsidRPr="000756A6">
        <w:t xml:space="preserve"> </w:t>
      </w:r>
      <w:r w:rsidR="004C3108">
        <w:t>z </w:t>
      </w:r>
      <w:r>
        <w:t xml:space="preserve">uwagi na </w:t>
      </w:r>
      <w:r w:rsidRPr="000756A6">
        <w:t>niespełnianie wiążącego śródokresowego wymogu MREL określonego</w:t>
      </w:r>
      <w:r>
        <w:t xml:space="preserve"> przez Fundusz na 31</w:t>
      </w:r>
      <w:r w:rsidR="004C3108">
        <w:t xml:space="preserve"> grudnia </w:t>
      </w:r>
      <w:r>
        <w:t>2021 r</w:t>
      </w:r>
      <w:r w:rsidR="004C3108">
        <w:t>.</w:t>
      </w:r>
      <w:r>
        <w:t xml:space="preserve">; </w:t>
      </w:r>
    </w:p>
    <w:p w:rsidR="005C2DA4" w:rsidRDefault="005C2DA4" w:rsidP="008004CF">
      <w:pPr>
        <w:pStyle w:val="Akapitzlist"/>
        <w:numPr>
          <w:ilvl w:val="0"/>
          <w:numId w:val="22"/>
        </w:numPr>
        <w:spacing w:after="120"/>
        <w:ind w:left="714" w:hanging="357"/>
      </w:pPr>
      <w:r>
        <w:t>zakończył comiesięczną ocenę</w:t>
      </w:r>
      <w:r w:rsidRPr="006E5FE9">
        <w:t xml:space="preserve"> zasadności wydania zakazu wypłaty zysków w ramach procedury M-MDA wobec Banku Millennium S.A.</w:t>
      </w:r>
      <w:r>
        <w:t xml:space="preserve"> oraz Banku Pocztowego S.A.</w:t>
      </w:r>
      <w:r w:rsidRPr="006E5FE9">
        <w:t xml:space="preserve">, </w:t>
      </w:r>
      <w:r>
        <w:t>w związku z</w:t>
      </w:r>
      <w:r w:rsidRPr="006E5FE9">
        <w:t xml:space="preserve"> niespełnieniem przez </w:t>
      </w:r>
      <w:r>
        <w:t>te podmioty</w:t>
      </w:r>
      <w:r w:rsidRPr="006E5FE9">
        <w:t xml:space="preserve"> wymogów kapitałowych, a tym samym odpadnięciem przesłanki do stosowania art. 96a-96d ustawy o BFG</w:t>
      </w:r>
      <w:r>
        <w:t xml:space="preserve">; </w:t>
      </w:r>
    </w:p>
    <w:p w:rsidR="005C2DA4" w:rsidRDefault="005C2DA4" w:rsidP="008004CF">
      <w:pPr>
        <w:pStyle w:val="Akapitzlist"/>
        <w:numPr>
          <w:ilvl w:val="0"/>
          <w:numId w:val="22"/>
        </w:numPr>
        <w:spacing w:after="120"/>
        <w:ind w:left="714" w:hanging="357"/>
      </w:pPr>
      <w:r>
        <w:t>w przypadku Banku Millennium S.A. w związku z niespełnianiem przez Bank wiążącego śródokresowego wymogu MREL określonego na 31</w:t>
      </w:r>
      <w:r w:rsidR="004C3108">
        <w:t xml:space="preserve"> grudnia </w:t>
      </w:r>
      <w:r>
        <w:t xml:space="preserve">2021 r., Fundusz rozpoczął przeprowadzanie oceny wykonalności grupowego planu </w:t>
      </w:r>
      <w:r w:rsidR="004C3108">
        <w:t>przymusowej restrukturyzacji, w </w:t>
      </w:r>
      <w:r>
        <w:t>ramach której w szczególności analizowany będzie wpływ niedoborów MREL.</w:t>
      </w:r>
    </w:p>
    <w:p w:rsidR="005C2DA4" w:rsidRDefault="005C2DA4" w:rsidP="000E041E">
      <w:pPr>
        <w:spacing w:after="120"/>
      </w:pPr>
      <w:r>
        <w:t xml:space="preserve">Natomiast pismem z dnia 6 lipca br. </w:t>
      </w:r>
      <w:r w:rsidRPr="00981FCD">
        <w:t>Bank Spółdzielczy w Jastrzębiu Zdroju</w:t>
      </w:r>
      <w:r w:rsidR="004C3108">
        <w:t xml:space="preserve"> poinformował o </w:t>
      </w:r>
      <w:r>
        <w:t>spełnieniu od 28 czerwca br. wymogu połączonego ponad MREL określony przez Fundusz na 31</w:t>
      </w:r>
      <w:r w:rsidR="004C3108">
        <w:t xml:space="preserve"> grudnia </w:t>
      </w:r>
      <w:r>
        <w:t xml:space="preserve">2021 r. </w:t>
      </w:r>
    </w:p>
    <w:p w:rsidR="005C2DA4" w:rsidRDefault="005C2DA4" w:rsidP="000E041E">
      <w:pPr>
        <w:spacing w:after="120"/>
      </w:pPr>
      <w:r>
        <w:t>W przypadku podmiotów, które zaprzestały</w:t>
      </w:r>
      <w:r w:rsidRPr="003F7814">
        <w:t xml:space="preserve"> spełnia</w:t>
      </w:r>
      <w:r>
        <w:t>ni</w:t>
      </w:r>
      <w:r w:rsidR="000E041E">
        <w:t>a</w:t>
      </w:r>
      <w:r w:rsidRPr="003F7814">
        <w:t xml:space="preserve"> wymogu połączonego bufora, a zatem zaistniała sytuacja o której mowa w art. 55 ust. 5 </w:t>
      </w:r>
      <w:r w:rsidRPr="000E041E">
        <w:rPr>
          <w:i/>
        </w:rPr>
        <w:t>Ustawy</w:t>
      </w:r>
      <w:r w:rsidR="000E041E" w:rsidRPr="000E041E">
        <w:rPr>
          <w:i/>
        </w:rPr>
        <w:t xml:space="preserve"> z dnia 5 sierpnia 2015 r.</w:t>
      </w:r>
      <w:r w:rsidRPr="000E041E">
        <w:rPr>
          <w:i/>
        </w:rPr>
        <w:t xml:space="preserve"> o nadzorze makroostrożnościowym nad systemem finansowym i zarządzaniu kryzysowym w systemie finansowym</w:t>
      </w:r>
      <w:r>
        <w:t xml:space="preserve">, </w:t>
      </w:r>
      <w:r w:rsidRPr="001C19F3">
        <w:t xml:space="preserve">Fundusz zaprzestał przeprowadzania comiesięcznej oceny zasadności wszczęcia postępowania administracyjnego w przedmiocie wydania przedmiotowej decyzji o zakazie wypłaty zysków powyżej M-MDA (art. 96a ust. 2 Ustawy o BFG, art. 16a BRRD2). Jednocześnie, BFG prowadzi wobec Banku miesięczny monitoring (obowiązek przekazania prognoz) wpływu </w:t>
      </w:r>
      <w:r w:rsidR="00C17D98">
        <w:t>„</w:t>
      </w:r>
      <w:r w:rsidRPr="001C19F3">
        <w:t>wakacji kredytowych</w:t>
      </w:r>
      <w:r w:rsidR="00C17D98">
        <w:t>”</w:t>
      </w:r>
      <w:r w:rsidRPr="001C19F3">
        <w:t xml:space="preserve"> na poziom rezerw Banku, wskaźników kapit</w:t>
      </w:r>
      <w:r w:rsidR="004C3108">
        <w:t>ałowych oraz wymogu MREL wraz z </w:t>
      </w:r>
      <w:r w:rsidRPr="001C19F3">
        <w:t>planowanymi emisjami na potrzeby spełnienia wymogu MREL.</w:t>
      </w:r>
    </w:p>
    <w:p w:rsidR="005C2DA4" w:rsidRPr="006E5FE9" w:rsidRDefault="005C2DA4" w:rsidP="004C3108">
      <w:pPr>
        <w:spacing w:after="120"/>
      </w:pPr>
      <w:r w:rsidRPr="00EB4C1C">
        <w:rPr>
          <w:rFonts w:cs="Calibri Light"/>
          <w:lang w:eastAsia="en-US"/>
        </w:rPr>
        <w:t xml:space="preserve">Ponadto, w ramach monitoringu poziomu MREL, Fundusz poddał weryfikacji kwartalne formularze </w:t>
      </w:r>
      <w:r w:rsidRPr="00EB4C1C">
        <w:rPr>
          <w:rFonts w:cs="Calibri Light"/>
        </w:rPr>
        <w:t>wynikające z rozporządzenia wykonawczego Komisji (EU) 2021/763 przekazane przez banki. Fundusz pozostawał w stałym kontakcie z bankami w zakresie identyfikacji obowiązku sprawozdawczego oraz danych zawartych w ww. formularzach</w:t>
      </w:r>
      <w:r>
        <w:rPr>
          <w:rFonts w:cs="Calibri Light"/>
        </w:rPr>
        <w:t>.</w:t>
      </w:r>
    </w:p>
    <w:p w:rsidR="005C2DA4" w:rsidRDefault="005C2DA4" w:rsidP="000E041E">
      <w:pPr>
        <w:spacing w:after="120"/>
      </w:pPr>
      <w:r>
        <w:t>Fundusz 22 września</w:t>
      </w:r>
      <w:r w:rsidR="000E041E">
        <w:t xml:space="preserve"> br.</w:t>
      </w:r>
      <w:r>
        <w:t xml:space="preserve"> opublikował</w:t>
      </w:r>
      <w:r>
        <w:rPr>
          <w:rStyle w:val="Odwoanieprzypisudolnego"/>
        </w:rPr>
        <w:footnoteReference w:id="7"/>
      </w:r>
      <w:r>
        <w:t xml:space="preserve"> zmianę zasad wyznaczania śródokresowego wymogu MREL</w:t>
      </w:r>
      <w:r w:rsidRPr="00FC3371">
        <w:rPr>
          <w:vertAlign w:val="subscript"/>
        </w:rPr>
        <w:t xml:space="preserve">TREA </w:t>
      </w:r>
      <w:r>
        <w:t>ma</w:t>
      </w:r>
      <w:r w:rsidRPr="00EF3744">
        <w:t xml:space="preserve">jąc na względzie ograniczone możliwości emitowania przez podmioty krajowe instrumentów kapitałowych oraz instrumentów dłużnych, wynikające z wysokiej niepewności makroekonomicznej, wywołanej m.in. agresją Federacji Rosyjskiej na Ukrainę, oraz ponoszone przez banki koszty tzw. </w:t>
      </w:r>
      <w:r w:rsidR="00C17D98">
        <w:t>„</w:t>
      </w:r>
      <w:r w:rsidRPr="00EF3744">
        <w:t>wakacji kredytowych</w:t>
      </w:r>
      <w:r w:rsidR="00C17D98">
        <w:t>”</w:t>
      </w:r>
      <w:r>
        <w:t xml:space="preserve">. </w:t>
      </w:r>
      <w:r w:rsidRPr="00EF3744">
        <w:t>W bieżącym cyklu planistycznym, Fundusz będzie określał śródokresowy wymóg MREL</w:t>
      </w:r>
      <w:r w:rsidRPr="00FC3371">
        <w:rPr>
          <w:vertAlign w:val="subscript"/>
        </w:rPr>
        <w:t>TREA</w:t>
      </w:r>
      <w:r w:rsidRPr="00EF3744">
        <w:t>, który podmioty powinny spełni</w:t>
      </w:r>
      <w:r w:rsidR="004C3108">
        <w:t>ć do 31 </w:t>
      </w:r>
      <w:r w:rsidRPr="00EF3744">
        <w:t>grudnia 2022 r., w oparciu o tę samą formułę co w przypadku śródokresowego wymogu MREL</w:t>
      </w:r>
      <w:r w:rsidRPr="00FC3371">
        <w:rPr>
          <w:vertAlign w:val="subscript"/>
        </w:rPr>
        <w:t>TREA</w:t>
      </w:r>
      <w:r w:rsidRPr="00EF3744">
        <w:t xml:space="preserve">, który podmioty są obowiązane spełniać od 1 stycznia br. Przyjęte podejście </w:t>
      </w:r>
      <w:r w:rsidR="00667104">
        <w:t>dotyczy także ścieżki dojścia w </w:t>
      </w:r>
      <w:r w:rsidRPr="00EF3744">
        <w:t>odniesieniu do wymogu podporządkowania MREL</w:t>
      </w:r>
      <w:r w:rsidRPr="00FC3371">
        <w:rPr>
          <w:vertAlign w:val="subscript"/>
        </w:rPr>
        <w:t>TREA</w:t>
      </w:r>
      <w:r w:rsidRPr="00EF3744">
        <w:t>.</w:t>
      </w:r>
    </w:p>
    <w:p w:rsidR="005C2DA4" w:rsidRPr="00672B13" w:rsidRDefault="005C2DA4" w:rsidP="004C3108">
      <w:pPr>
        <w:spacing w:after="120"/>
        <w:rPr>
          <w:rFonts w:cs="Calibri Light"/>
          <w:lang w:eastAsia="en-US"/>
        </w:rPr>
      </w:pPr>
      <w:r w:rsidRPr="00467ED9">
        <w:rPr>
          <w:rFonts w:cs="Calibri Light"/>
          <w:lang w:eastAsia="en-US"/>
        </w:rPr>
        <w:t>W II</w:t>
      </w:r>
      <w:r>
        <w:rPr>
          <w:rFonts w:cs="Calibri Light"/>
          <w:lang w:eastAsia="en-US"/>
        </w:rPr>
        <w:t>I</w:t>
      </w:r>
      <w:r w:rsidRPr="00467ED9">
        <w:rPr>
          <w:rFonts w:cs="Calibri Light"/>
          <w:lang w:eastAsia="en-US"/>
        </w:rPr>
        <w:t xml:space="preserve"> kwartale Zarząd Funduszu, po zasięgnięciu opinii KNF w sprawie wysokości </w:t>
      </w:r>
      <w:r>
        <w:rPr>
          <w:rFonts w:cs="Calibri Light"/>
          <w:lang w:eastAsia="en-US"/>
        </w:rPr>
        <w:t xml:space="preserve">określonego poziomu </w:t>
      </w:r>
      <w:r w:rsidRPr="00467ED9">
        <w:rPr>
          <w:rFonts w:cs="Calibri Light"/>
          <w:lang w:eastAsia="en-US"/>
        </w:rPr>
        <w:t xml:space="preserve">MREL, przyjął uchwały w sprawie przyjęcia przeglądów planów przymusowej restrukturyzacji dla </w:t>
      </w:r>
      <w:r w:rsidRPr="00FC3371">
        <w:rPr>
          <w:rFonts w:cs="Calibri Light"/>
          <w:lang w:eastAsia="en-US"/>
        </w:rPr>
        <w:t xml:space="preserve">64 </w:t>
      </w:r>
      <w:r w:rsidRPr="00467ED9">
        <w:rPr>
          <w:rFonts w:cs="Calibri Light"/>
          <w:lang w:eastAsia="en-US"/>
        </w:rPr>
        <w:t>banków spółdzielczych</w:t>
      </w:r>
      <w:r>
        <w:rPr>
          <w:rFonts w:cs="Calibri Light"/>
          <w:lang w:eastAsia="en-US"/>
        </w:rPr>
        <w:t>.</w:t>
      </w:r>
    </w:p>
    <w:p w:rsidR="005C2DA4" w:rsidRPr="0092081C" w:rsidRDefault="005C2DA4" w:rsidP="005C2DA4">
      <w:pPr>
        <w:spacing w:after="120"/>
        <w:rPr>
          <w:rFonts w:cs="Calibri Light"/>
          <w:lang w:eastAsia="en-US"/>
        </w:rPr>
      </w:pPr>
      <w:r w:rsidRPr="0092081C">
        <w:rPr>
          <w:rFonts w:cs="Calibri Light"/>
          <w:lang w:eastAsia="en-US"/>
        </w:rPr>
        <w:t>Ponadto w odniesieniu do podmiotów, dla których w planach przymusowej restrukturyzacji przewidziano zastosowanie instrumentów przymusowej restrukturyzacji, o których mowa w art. 110 ust. 1 ustawy o BFG, kontynuowany był proces wyjaśnień kwestii, na które Fundusz zwracał uwagę w kontekście wykonalności planów przymusowej restrukturyzacji. Dotyczył on przede wszystkim analizy zdolności podmiotów do zapewnienia danych</w:t>
      </w:r>
      <w:r w:rsidR="004C3108">
        <w:rPr>
          <w:rFonts w:cs="Calibri Light"/>
          <w:lang w:eastAsia="en-US"/>
        </w:rPr>
        <w:t xml:space="preserve"> niezbędnych do przygotowania i </w:t>
      </w:r>
      <w:r w:rsidRPr="0092081C">
        <w:rPr>
          <w:rFonts w:cs="Calibri Light"/>
          <w:lang w:eastAsia="en-US"/>
        </w:rPr>
        <w:t>przeprowadzenia przymusowej restrukturyzacji oraz planu osiągnięcia MREL.</w:t>
      </w:r>
      <w:r w:rsidR="005A6833">
        <w:rPr>
          <w:rFonts w:cs="Calibri Light"/>
          <w:lang w:eastAsia="en-US"/>
        </w:rPr>
        <w:t xml:space="preserve"> </w:t>
      </w:r>
    </w:p>
    <w:p w:rsidR="005C2DA4" w:rsidRDefault="005C2DA4" w:rsidP="004C3108">
      <w:pPr>
        <w:spacing w:after="120"/>
      </w:pPr>
      <w:r>
        <w:t xml:space="preserve">W III kwartale br. Fundusz </w:t>
      </w:r>
      <w:r w:rsidRPr="0054370F">
        <w:t xml:space="preserve">wydał </w:t>
      </w:r>
      <w:r w:rsidRPr="00FC3371">
        <w:t>1</w:t>
      </w:r>
      <w:r w:rsidR="000978F2">
        <w:t>3</w:t>
      </w:r>
      <w:r w:rsidRPr="00FC3371">
        <w:t xml:space="preserve"> opinii</w:t>
      </w:r>
      <w:r w:rsidRPr="0054370F">
        <w:t xml:space="preserve"> w sprawie przewidywanego wpływu wykonania planów naprawy podmiotów na przymuso</w:t>
      </w:r>
      <w:r>
        <w:t>wą restrukturyzację, w tym dla</w:t>
      </w:r>
      <w:r w:rsidRPr="006C44C9">
        <w:rPr>
          <w:b/>
        </w:rPr>
        <w:t xml:space="preserve"> </w:t>
      </w:r>
      <w:r w:rsidRPr="0013378F">
        <w:t xml:space="preserve">3 </w:t>
      </w:r>
      <w:r>
        <w:t>banków spółdzielczych</w:t>
      </w:r>
      <w:r w:rsidRPr="0054370F">
        <w:t xml:space="preserve"> dla </w:t>
      </w:r>
      <w:r w:rsidR="000978F2">
        <w:t>6</w:t>
      </w:r>
      <w:r>
        <w:t xml:space="preserve"> </w:t>
      </w:r>
      <w:r w:rsidRPr="0054370F">
        <w:t xml:space="preserve">banków komercyjnych </w:t>
      </w:r>
      <w:r w:rsidRPr="00FC3371">
        <w:t xml:space="preserve">i </w:t>
      </w:r>
      <w:r w:rsidR="000978F2">
        <w:t>4</w:t>
      </w:r>
      <w:r w:rsidRPr="0054370F">
        <w:t xml:space="preserve"> grup kapitałowych.</w:t>
      </w:r>
    </w:p>
    <w:p w:rsidR="005C2DA4" w:rsidRDefault="005C2DA4" w:rsidP="000E041E">
      <w:pPr>
        <w:spacing w:after="120"/>
      </w:pPr>
      <w:r>
        <w:t xml:space="preserve">W </w:t>
      </w:r>
      <w:r w:rsidR="000E041E">
        <w:t>okresie sprawozdawczym</w:t>
      </w:r>
      <w:r>
        <w:t xml:space="preserve"> Fundusz, w związku z wymogami z</w:t>
      </w:r>
      <w:r w:rsidR="00667104">
        <w:t xml:space="preserve"> art. 504a CRR wskazującymi, iż </w:t>
      </w:r>
      <w:r>
        <w:t>EUNB musi przedstawić Komisji Europejskiej sprawozdanie na t</w:t>
      </w:r>
      <w:r w:rsidR="004C3108">
        <w:t>emat kwot i podziału udziałów w </w:t>
      </w:r>
      <w:r>
        <w:t>instrumentach zobowiązań kwalifikowalnych pomiędzy instytucjami określanymi jako globalne instytucje o znaczeniu systemowym (dalej: G-SII) lub inne instytucje o znaczeniu systemowym (dalej: O-SII), a także na temat potencjalnych przeszkód dla restrukturyzacji i uporządkowanej likwidacji oraz na temat ryzyka wystąpienia efektu domina w odniesieniu do tych udziałów,</w:t>
      </w:r>
      <w:r w:rsidR="005A6833">
        <w:t xml:space="preserve"> </w:t>
      </w:r>
      <w:r>
        <w:t>zwrócił się do odpowiednich Banków z</w:t>
      </w:r>
      <w:r w:rsidRPr="00500EAC">
        <w:t xml:space="preserve"> prośbą o przygotowanie i przekazanie danych </w:t>
      </w:r>
      <w:r>
        <w:t>koniecznych do przygotowania przedmiotowego raportu</w:t>
      </w:r>
      <w:r w:rsidRPr="00500EAC">
        <w:t>.</w:t>
      </w:r>
    </w:p>
    <w:p w:rsidR="005C2DA4" w:rsidRPr="002728E1" w:rsidRDefault="005C2DA4" w:rsidP="005C2DA4">
      <w:pPr>
        <w:spacing w:after="120"/>
      </w:pPr>
      <w:r>
        <w:t xml:space="preserve">Ponadto Fundusz, w związku z podpisaniem w dniu 14 lipca 2022 r. przez Prezydenta Rzeczypospolitej Polskiej </w:t>
      </w:r>
      <w:r w:rsidRPr="000E041E">
        <w:rPr>
          <w:i/>
        </w:rPr>
        <w:t>ustawy z dnia 7 lipca 2022 r. o finansowaniu społecznościowym dla przedsięwzięć gospodarczych i pomocy kredytobiorcom</w:t>
      </w:r>
      <w:r>
        <w:t xml:space="preserve"> (Dz. U. z 2022 r., poz. 1488; dalej: „ustawa o finansowaniu społecznościowym”) i w konsekwencji z możliwości</w:t>
      </w:r>
      <w:r w:rsidR="00E15DD8">
        <w:t>ą</w:t>
      </w:r>
      <w:r>
        <w:t xml:space="preserve"> zawieszenia spłaty kredytu hipotecznego zaciągniętego w celu zaspokojenia własnych potrzeb mieszkaniowych kredytobiorcy (tzw. </w:t>
      </w:r>
      <w:r w:rsidR="00C17D98">
        <w:t>„</w:t>
      </w:r>
      <w:r>
        <w:t>wakacje kredytowe</w:t>
      </w:r>
      <w:r w:rsidR="00C17D98">
        <w:t>”</w:t>
      </w:r>
      <w:r>
        <w:t xml:space="preserve">) wynikającej z art. 73, zwrócił się z </w:t>
      </w:r>
      <w:r w:rsidR="00990AB3">
        <w:t>prośbą do banków komercyjnych o </w:t>
      </w:r>
      <w:r>
        <w:t>przekazanie aktualnego poziomu oraz prognozy kształtowania się poziomu i struktury minimalnego wymogu funduszy własnych i zobowią</w:t>
      </w:r>
      <w:r w:rsidR="00990AB3">
        <w:t>zań kwalifikowalnych („MREL”) z </w:t>
      </w:r>
      <w:r>
        <w:t xml:space="preserve">uwzględnieniem </w:t>
      </w:r>
      <w:r w:rsidR="00C17D98">
        <w:t>„</w:t>
      </w:r>
      <w:r>
        <w:t>wakacji kredytowych</w:t>
      </w:r>
      <w:r w:rsidR="00C17D98">
        <w:t>”</w:t>
      </w:r>
      <w:r>
        <w:t>.</w:t>
      </w:r>
    </w:p>
    <w:p w:rsidR="00FD1099" w:rsidRPr="00DF679D" w:rsidRDefault="00FD1099" w:rsidP="006F633C">
      <w:pPr>
        <w:pStyle w:val="Nagwek2"/>
        <w:numPr>
          <w:ilvl w:val="0"/>
          <w:numId w:val="1"/>
        </w:numPr>
        <w:spacing w:before="240" w:after="100"/>
        <w:ind w:left="425" w:hanging="425"/>
        <w:rPr>
          <w:rFonts w:cs="Calibri Light"/>
        </w:rPr>
      </w:pPr>
      <w:bookmarkStart w:id="57" w:name="_Toc34836170"/>
      <w:bookmarkStart w:id="58" w:name="_Toc116304521"/>
      <w:r w:rsidRPr="00DF679D">
        <w:rPr>
          <w:rFonts w:cs="Calibri Light"/>
        </w:rPr>
        <w:t>Monitoring realizacji umów, na podstawie których udzielono pomocy lub wsparcia</w:t>
      </w:r>
      <w:bookmarkEnd w:id="57"/>
      <w:bookmarkEnd w:id="58"/>
    </w:p>
    <w:p w:rsidR="00206C1B" w:rsidRPr="00DF679D" w:rsidRDefault="00206C1B" w:rsidP="005D1A1E">
      <w:pPr>
        <w:spacing w:before="200" w:after="120"/>
        <w:rPr>
          <w:rFonts w:cs="Calibri Light"/>
        </w:rPr>
      </w:pPr>
      <w:r w:rsidRPr="00DF679D">
        <w:rPr>
          <w:rFonts w:cs="Calibri Light"/>
        </w:rPr>
        <w:t xml:space="preserve">Fundusz – według stanu na dzień 30 września 2022 r. – monitorował pięć banków komercyjnych, którym w okresie od 2015 r. do 31 grudnia 2021 r. udzielił wsparcia w związku </w:t>
      </w:r>
      <w:r w:rsidRPr="00DF679D">
        <w:rPr>
          <w:rFonts w:cs="Calibri Light"/>
        </w:rPr>
        <w:br/>
        <w:t>z procesem:</w:t>
      </w:r>
    </w:p>
    <w:p w:rsidR="00206C1B" w:rsidRPr="00DF679D" w:rsidRDefault="00206C1B" w:rsidP="008004CF">
      <w:pPr>
        <w:widowControl w:val="0"/>
        <w:numPr>
          <w:ilvl w:val="0"/>
          <w:numId w:val="8"/>
        </w:numPr>
        <w:spacing w:after="0"/>
        <w:ind w:left="714" w:hanging="357"/>
        <w:contextualSpacing/>
        <w:rPr>
          <w:rFonts w:cs="Calibri Light"/>
        </w:rPr>
      </w:pPr>
      <w:r w:rsidRPr="00DF679D">
        <w:rPr>
          <w:rFonts w:cs="Calibri Light"/>
        </w:rPr>
        <w:t xml:space="preserve">restrukturyzacji 7 kas, </w:t>
      </w:r>
    </w:p>
    <w:p w:rsidR="00206C1B" w:rsidRPr="00DF679D" w:rsidRDefault="00206C1B" w:rsidP="008004CF">
      <w:pPr>
        <w:widowControl w:val="0"/>
        <w:numPr>
          <w:ilvl w:val="0"/>
          <w:numId w:val="8"/>
        </w:numPr>
        <w:spacing w:after="0"/>
        <w:ind w:left="714" w:hanging="357"/>
        <w:contextualSpacing/>
        <w:rPr>
          <w:rFonts w:cs="Calibri Light"/>
        </w:rPr>
      </w:pPr>
      <w:r w:rsidRPr="00DF679D">
        <w:rPr>
          <w:rFonts w:cs="Calibri Light"/>
        </w:rPr>
        <w:t xml:space="preserve">przymusowej restrukturyzacji 1 banku. </w:t>
      </w:r>
    </w:p>
    <w:p w:rsidR="00206C1B" w:rsidRPr="00DF679D" w:rsidRDefault="00206C1B" w:rsidP="005D1A1E">
      <w:pPr>
        <w:spacing w:before="120" w:after="0"/>
        <w:rPr>
          <w:rFonts w:cs="Calibri Light"/>
        </w:rPr>
      </w:pPr>
      <w:r w:rsidRPr="00DF679D">
        <w:rPr>
          <w:rFonts w:cs="Calibri Light"/>
        </w:rPr>
        <w:t xml:space="preserve">W porównaniu do poprzedniego kwartału liczba monitorowanych banków i umów nie uległa zmianie. W trakcie weryfikacji znajduje się sprawozdanie za ostatni okres rozliczeniowy banku, </w:t>
      </w:r>
      <w:r w:rsidRPr="00DF679D">
        <w:rPr>
          <w:rFonts w:cs="Calibri Light"/>
        </w:rPr>
        <w:br/>
        <w:t xml:space="preserve">w przypadku którego termin obowiązywania gwarancji upłynął z końcem 2021 r. </w:t>
      </w:r>
    </w:p>
    <w:p w:rsidR="00206C1B" w:rsidRPr="00DF679D" w:rsidRDefault="00206C1B" w:rsidP="00206C1B">
      <w:pPr>
        <w:spacing w:before="120" w:after="120"/>
        <w:rPr>
          <w:rFonts w:cs="Calibri Light"/>
        </w:rPr>
      </w:pPr>
      <w:r w:rsidRPr="00DF679D">
        <w:rPr>
          <w:rFonts w:cs="Calibri Light"/>
        </w:rPr>
        <w:t>Fundusz monitorował sytuację ekonomiczno-finansową banków na podstawie sprawozdań fi</w:t>
      </w:r>
      <w:r w:rsidR="000E5439">
        <w:rPr>
          <w:rFonts w:cs="Calibri Light"/>
        </w:rPr>
        <w:t>nansowych i danych zawartych w systemie wczesnego ostrzegania</w:t>
      </w:r>
      <w:r w:rsidRPr="00DF679D">
        <w:rPr>
          <w:rFonts w:cs="Calibri Light"/>
        </w:rPr>
        <w:t>, a także realizowanie przez nie zobowiązań wynikających z zawartych umów wsparcia, zwłaszcza w zakresie rozliczenia umów GPS. Nie zidentyfikowano istotnych ryzyk mogących mieć negatywny wpływ na realizację przedmiotowych umów.</w:t>
      </w:r>
    </w:p>
    <w:p w:rsidR="00206C1B" w:rsidRPr="00DF679D" w:rsidRDefault="00206C1B" w:rsidP="005D1A1E">
      <w:pPr>
        <w:spacing w:before="120" w:after="60"/>
        <w:ind w:firstLine="0"/>
        <w:rPr>
          <w:rFonts w:cs="Calibri Light"/>
          <w:b/>
          <w:sz w:val="22"/>
          <w:szCs w:val="22"/>
        </w:rPr>
      </w:pPr>
      <w:r w:rsidRPr="00DF679D" w:rsidDel="003750BA">
        <w:rPr>
          <w:rFonts w:cs="Calibri Light"/>
          <w:b/>
          <w:sz w:val="22"/>
          <w:szCs w:val="22"/>
        </w:rPr>
        <w:t>Tabela</w:t>
      </w:r>
      <w:r w:rsidRPr="00DF679D">
        <w:rPr>
          <w:rFonts w:cs="Calibri Light"/>
          <w:b/>
          <w:sz w:val="22"/>
          <w:szCs w:val="22"/>
        </w:rPr>
        <w:t xml:space="preserve"> </w:t>
      </w:r>
      <w:r w:rsidR="005D1A1E">
        <w:rPr>
          <w:rFonts w:cs="Calibri Light"/>
          <w:b/>
          <w:sz w:val="22"/>
          <w:szCs w:val="22"/>
        </w:rPr>
        <w:t>9</w:t>
      </w:r>
      <w:r w:rsidRPr="00DF679D">
        <w:rPr>
          <w:rFonts w:cs="Calibri Light"/>
          <w:b/>
          <w:sz w:val="22"/>
          <w:szCs w:val="22"/>
        </w:rPr>
        <w:t xml:space="preserve">. </w:t>
      </w:r>
      <w:r w:rsidRPr="00DF679D" w:rsidDel="003750BA">
        <w:rPr>
          <w:rFonts w:cs="Calibri Light"/>
          <w:b/>
          <w:sz w:val="22"/>
          <w:szCs w:val="22"/>
        </w:rPr>
        <w:t>Banki korzystające ze wsparcia z funduszu gwarancyjnego spółdzielczych kas oszczędnościowo-kredytowych i funduszu przymusowej restrukturyzacji banków</w:t>
      </w:r>
    </w:p>
    <w:tbl>
      <w:tblPr>
        <w:tblW w:w="9381" w:type="dxa"/>
        <w:tblInd w:w="-5" w:type="dxa"/>
        <w:tblLayout w:type="fixed"/>
        <w:tblCellMar>
          <w:left w:w="70" w:type="dxa"/>
          <w:right w:w="70" w:type="dxa"/>
        </w:tblCellMar>
        <w:tblLook w:val="04A0" w:firstRow="1" w:lastRow="0" w:firstColumn="1" w:lastColumn="0" w:noHBand="0" w:noVBand="1"/>
      </w:tblPr>
      <w:tblGrid>
        <w:gridCol w:w="1565"/>
        <w:gridCol w:w="2976"/>
        <w:gridCol w:w="2420"/>
        <w:gridCol w:w="2420"/>
      </w:tblGrid>
      <w:tr w:rsidR="00206C1B" w:rsidRPr="00DF679D" w:rsidDel="003750BA" w:rsidTr="005D1A1E">
        <w:trPr>
          <w:trHeight w:val="260"/>
        </w:trPr>
        <w:tc>
          <w:tcPr>
            <w:tcW w:w="1565" w:type="dxa"/>
            <w:vMerge w:val="restart"/>
            <w:tcBorders>
              <w:top w:val="single" w:sz="4" w:space="0" w:color="auto"/>
              <w:left w:val="single" w:sz="4" w:space="0" w:color="auto"/>
              <w:bottom w:val="single" w:sz="4" w:space="0" w:color="auto"/>
              <w:right w:val="single" w:sz="4" w:space="0" w:color="auto"/>
            </w:tcBorders>
            <w:shd w:val="clear" w:color="auto" w:fill="2A5384"/>
            <w:vAlign w:val="center"/>
          </w:tcPr>
          <w:p w:rsidR="00206C1B" w:rsidRPr="00DF679D" w:rsidDel="003750BA" w:rsidRDefault="00206C1B" w:rsidP="00206C1B">
            <w:pPr>
              <w:spacing w:after="0"/>
              <w:jc w:val="center"/>
              <w:rPr>
                <w:rFonts w:cs="Calibri Light"/>
                <w:b/>
                <w:bCs/>
                <w:color w:val="FFFFFF" w:themeColor="background1"/>
                <w:sz w:val="18"/>
                <w:szCs w:val="18"/>
              </w:rPr>
            </w:pPr>
            <w:r w:rsidRPr="00DF679D" w:rsidDel="003750BA">
              <w:rPr>
                <w:rFonts w:cs="Calibri Light"/>
                <w:b/>
                <w:bCs/>
                <w:color w:val="FFFFFF" w:themeColor="background1"/>
                <w:sz w:val="18"/>
                <w:szCs w:val="18"/>
              </w:rPr>
              <w:t>Nazwa banku</w:t>
            </w:r>
          </w:p>
        </w:tc>
        <w:tc>
          <w:tcPr>
            <w:tcW w:w="2976" w:type="dxa"/>
            <w:vMerge w:val="restart"/>
            <w:tcBorders>
              <w:top w:val="single" w:sz="4" w:space="0" w:color="auto"/>
              <w:left w:val="nil"/>
              <w:right w:val="single" w:sz="4" w:space="0" w:color="auto"/>
            </w:tcBorders>
            <w:shd w:val="clear" w:color="auto" w:fill="2A5384"/>
            <w:vAlign w:val="center"/>
          </w:tcPr>
          <w:p w:rsidR="00206C1B" w:rsidRPr="00DF679D" w:rsidDel="003750BA" w:rsidRDefault="00206C1B" w:rsidP="00206C1B">
            <w:pPr>
              <w:spacing w:after="0"/>
              <w:jc w:val="center"/>
              <w:rPr>
                <w:rFonts w:cs="Calibri Light"/>
                <w:b/>
                <w:bCs/>
                <w:color w:val="FFFFFF" w:themeColor="background1"/>
                <w:sz w:val="18"/>
                <w:szCs w:val="18"/>
              </w:rPr>
            </w:pPr>
            <w:r w:rsidRPr="00DF679D" w:rsidDel="003750BA">
              <w:rPr>
                <w:rFonts w:cs="Calibri Light"/>
                <w:b/>
                <w:bCs/>
                <w:color w:val="FFFFFF" w:themeColor="background1"/>
                <w:sz w:val="18"/>
                <w:szCs w:val="18"/>
              </w:rPr>
              <w:t>Przejęta kasa/ bank</w:t>
            </w:r>
          </w:p>
        </w:tc>
        <w:tc>
          <w:tcPr>
            <w:tcW w:w="4840" w:type="dxa"/>
            <w:gridSpan w:val="2"/>
            <w:tcBorders>
              <w:top w:val="single" w:sz="4" w:space="0" w:color="auto"/>
              <w:left w:val="nil"/>
              <w:bottom w:val="single" w:sz="4" w:space="0" w:color="auto"/>
              <w:right w:val="single" w:sz="4" w:space="0" w:color="auto"/>
            </w:tcBorders>
            <w:shd w:val="clear" w:color="auto" w:fill="2A5384"/>
            <w:vAlign w:val="center"/>
          </w:tcPr>
          <w:p w:rsidR="00206C1B" w:rsidRPr="00DF679D" w:rsidDel="003750BA" w:rsidRDefault="006F633C" w:rsidP="00206C1B">
            <w:pPr>
              <w:spacing w:after="0"/>
              <w:ind w:firstLine="0"/>
              <w:jc w:val="center"/>
              <w:rPr>
                <w:rFonts w:cs="Calibri Light"/>
                <w:b/>
                <w:bCs/>
                <w:color w:val="FFFFFF" w:themeColor="background1"/>
                <w:sz w:val="18"/>
                <w:szCs w:val="18"/>
              </w:rPr>
            </w:pPr>
            <w:r>
              <w:rPr>
                <w:rFonts w:eastAsia="Times New Roman" w:cs="Calibri Light"/>
                <w:b/>
                <w:bCs/>
                <w:color w:val="FFFFFF" w:themeColor="background1"/>
                <w:sz w:val="20"/>
                <w:szCs w:val="20"/>
              </w:rPr>
              <w:t>Wsparcie</w:t>
            </w:r>
          </w:p>
        </w:tc>
      </w:tr>
      <w:tr w:rsidR="00206C1B" w:rsidRPr="00DF679D" w:rsidDel="003750BA" w:rsidTr="006F633C">
        <w:trPr>
          <w:trHeight w:val="460"/>
        </w:trPr>
        <w:tc>
          <w:tcPr>
            <w:tcW w:w="1565" w:type="dxa"/>
            <w:vMerge/>
            <w:tcBorders>
              <w:left w:val="single" w:sz="4" w:space="0" w:color="auto"/>
              <w:bottom w:val="single" w:sz="4" w:space="0" w:color="auto"/>
              <w:right w:val="single" w:sz="4" w:space="0" w:color="auto"/>
            </w:tcBorders>
            <w:shd w:val="clear" w:color="auto" w:fill="2A5384"/>
            <w:vAlign w:val="center"/>
            <w:hideMark/>
          </w:tcPr>
          <w:p w:rsidR="00206C1B" w:rsidRPr="00DF679D" w:rsidDel="003750BA" w:rsidRDefault="00206C1B" w:rsidP="00206C1B">
            <w:pPr>
              <w:spacing w:after="0"/>
              <w:ind w:firstLine="0"/>
              <w:jc w:val="center"/>
              <w:rPr>
                <w:rFonts w:cs="Calibri Light"/>
                <w:b/>
                <w:bCs/>
                <w:color w:val="FFFFFF" w:themeColor="background1"/>
                <w:sz w:val="18"/>
                <w:szCs w:val="18"/>
              </w:rPr>
            </w:pPr>
          </w:p>
        </w:tc>
        <w:tc>
          <w:tcPr>
            <w:tcW w:w="2976" w:type="dxa"/>
            <w:vMerge/>
            <w:tcBorders>
              <w:left w:val="nil"/>
              <w:bottom w:val="single" w:sz="4" w:space="0" w:color="auto"/>
              <w:right w:val="single" w:sz="4" w:space="0" w:color="auto"/>
            </w:tcBorders>
            <w:shd w:val="clear" w:color="auto" w:fill="2A5384"/>
            <w:vAlign w:val="center"/>
            <w:hideMark/>
          </w:tcPr>
          <w:p w:rsidR="00206C1B" w:rsidRPr="00DF679D" w:rsidDel="003750BA" w:rsidRDefault="00206C1B" w:rsidP="00206C1B">
            <w:pPr>
              <w:spacing w:after="0"/>
              <w:ind w:firstLine="0"/>
              <w:jc w:val="center"/>
              <w:rPr>
                <w:rFonts w:cs="Calibri Light"/>
                <w:b/>
                <w:bCs/>
                <w:color w:val="FFFFFF" w:themeColor="background1"/>
                <w:sz w:val="18"/>
                <w:szCs w:val="18"/>
              </w:rPr>
            </w:pPr>
          </w:p>
        </w:tc>
        <w:tc>
          <w:tcPr>
            <w:tcW w:w="2420" w:type="dxa"/>
            <w:tcBorders>
              <w:top w:val="single" w:sz="4" w:space="0" w:color="auto"/>
              <w:left w:val="nil"/>
              <w:bottom w:val="single" w:sz="4" w:space="0" w:color="auto"/>
              <w:right w:val="single" w:sz="4" w:space="0" w:color="auto"/>
            </w:tcBorders>
            <w:shd w:val="clear" w:color="auto" w:fill="2A5384"/>
            <w:vAlign w:val="center"/>
            <w:hideMark/>
          </w:tcPr>
          <w:p w:rsidR="00206C1B" w:rsidRPr="00DF679D" w:rsidRDefault="00206C1B" w:rsidP="00206C1B">
            <w:pPr>
              <w:spacing w:after="0"/>
              <w:ind w:firstLine="0"/>
              <w:jc w:val="center"/>
              <w:rPr>
                <w:rFonts w:cs="Calibri Light"/>
                <w:b/>
                <w:bCs/>
                <w:color w:val="FFFFFF" w:themeColor="background1"/>
                <w:sz w:val="18"/>
                <w:szCs w:val="18"/>
              </w:rPr>
            </w:pPr>
            <w:r w:rsidRPr="00DF679D" w:rsidDel="003750BA">
              <w:rPr>
                <w:rFonts w:cs="Calibri Light"/>
                <w:b/>
                <w:bCs/>
                <w:color w:val="FFFFFF" w:themeColor="background1"/>
                <w:sz w:val="18"/>
                <w:szCs w:val="18"/>
              </w:rPr>
              <w:t>pokrywanie strat,</w:t>
            </w:r>
            <w:r w:rsidRPr="00DF679D">
              <w:rPr>
                <w:rFonts w:cs="Calibri Light"/>
                <w:b/>
                <w:bCs/>
                <w:color w:val="FFFFFF" w:themeColor="background1"/>
                <w:sz w:val="18"/>
                <w:szCs w:val="18"/>
              </w:rPr>
              <w:t xml:space="preserve"> </w:t>
            </w:r>
            <w:r w:rsidRPr="00DF679D" w:rsidDel="003750BA">
              <w:rPr>
                <w:rFonts w:cs="Calibri Light"/>
                <w:b/>
                <w:bCs/>
                <w:color w:val="FFFFFF" w:themeColor="background1"/>
                <w:sz w:val="18"/>
                <w:szCs w:val="18"/>
              </w:rPr>
              <w:t>odwróceń przychodów</w:t>
            </w:r>
          </w:p>
          <w:p w:rsidR="00206C1B" w:rsidRPr="00DF679D" w:rsidDel="003750BA" w:rsidRDefault="00206C1B" w:rsidP="00206C1B">
            <w:pPr>
              <w:spacing w:after="0"/>
              <w:ind w:firstLine="0"/>
              <w:jc w:val="center"/>
              <w:rPr>
                <w:rFonts w:cs="Calibri Light"/>
                <w:b/>
                <w:bCs/>
                <w:color w:val="FFFFFF" w:themeColor="background1"/>
                <w:sz w:val="18"/>
                <w:szCs w:val="18"/>
              </w:rPr>
            </w:pPr>
            <w:r w:rsidRPr="00DF679D">
              <w:rPr>
                <w:rFonts w:eastAsia="Times New Roman" w:cs="Calibri Light"/>
                <w:b/>
                <w:bCs/>
                <w:color w:val="FFFFFF" w:themeColor="background1"/>
                <w:sz w:val="20"/>
                <w:szCs w:val="20"/>
              </w:rPr>
              <w:t>od dnia przejęcia do dnia:</w:t>
            </w:r>
          </w:p>
        </w:tc>
        <w:tc>
          <w:tcPr>
            <w:tcW w:w="2420" w:type="dxa"/>
            <w:tcBorders>
              <w:top w:val="single" w:sz="4" w:space="0" w:color="auto"/>
              <w:left w:val="nil"/>
              <w:bottom w:val="single" w:sz="4" w:space="0" w:color="auto"/>
              <w:right w:val="single" w:sz="4" w:space="0" w:color="auto"/>
            </w:tcBorders>
            <w:shd w:val="clear" w:color="auto" w:fill="2A5384"/>
            <w:vAlign w:val="center"/>
            <w:hideMark/>
          </w:tcPr>
          <w:p w:rsidR="00206C1B" w:rsidRPr="00DF679D" w:rsidRDefault="00206C1B" w:rsidP="00206C1B">
            <w:pPr>
              <w:spacing w:after="0"/>
              <w:ind w:firstLine="0"/>
              <w:jc w:val="center"/>
              <w:rPr>
                <w:rFonts w:cs="Calibri Light"/>
                <w:b/>
                <w:bCs/>
                <w:color w:val="FFFFFF" w:themeColor="background1"/>
                <w:sz w:val="18"/>
                <w:szCs w:val="18"/>
              </w:rPr>
            </w:pPr>
            <w:r w:rsidRPr="00DF679D" w:rsidDel="003750BA">
              <w:rPr>
                <w:rFonts w:cs="Calibri Light"/>
                <w:b/>
                <w:bCs/>
                <w:color w:val="FFFFFF" w:themeColor="background1"/>
                <w:sz w:val="18"/>
                <w:szCs w:val="18"/>
              </w:rPr>
              <w:t>udział w przychodach,</w:t>
            </w:r>
            <w:r w:rsidRPr="00DF679D">
              <w:rPr>
                <w:rFonts w:cs="Calibri Light"/>
                <w:b/>
                <w:bCs/>
                <w:color w:val="FFFFFF" w:themeColor="background1"/>
                <w:sz w:val="18"/>
                <w:szCs w:val="18"/>
              </w:rPr>
              <w:t xml:space="preserve"> </w:t>
            </w:r>
            <w:r w:rsidRPr="00DF679D" w:rsidDel="003750BA">
              <w:rPr>
                <w:rFonts w:cs="Calibri Light"/>
                <w:b/>
                <w:bCs/>
                <w:color w:val="FFFFFF" w:themeColor="background1"/>
                <w:sz w:val="18"/>
                <w:szCs w:val="18"/>
              </w:rPr>
              <w:t>odwróceniach strat</w:t>
            </w:r>
          </w:p>
          <w:p w:rsidR="00206C1B" w:rsidRPr="00DF679D" w:rsidDel="003750BA" w:rsidRDefault="00206C1B" w:rsidP="00206C1B">
            <w:pPr>
              <w:spacing w:after="0"/>
              <w:ind w:firstLine="0"/>
              <w:jc w:val="center"/>
              <w:rPr>
                <w:rFonts w:cs="Calibri Light"/>
                <w:b/>
                <w:bCs/>
                <w:color w:val="FFFFFF" w:themeColor="background1"/>
                <w:sz w:val="18"/>
                <w:szCs w:val="18"/>
              </w:rPr>
            </w:pPr>
            <w:r w:rsidRPr="00DF679D">
              <w:rPr>
                <w:rFonts w:eastAsia="Times New Roman" w:cs="Calibri Light"/>
                <w:b/>
                <w:bCs/>
                <w:color w:val="FFFFFF" w:themeColor="background1"/>
                <w:sz w:val="20"/>
                <w:szCs w:val="20"/>
              </w:rPr>
              <w:t>od dnia przejęcia do dnia:</w:t>
            </w:r>
          </w:p>
        </w:tc>
      </w:tr>
      <w:tr w:rsidR="00206C1B" w:rsidRPr="00DF679D" w:rsidDel="003750BA" w:rsidTr="006F633C">
        <w:trPr>
          <w:trHeight w:val="365"/>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Alior Bank S.A.</w:t>
            </w:r>
          </w:p>
        </w:tc>
        <w:tc>
          <w:tcPr>
            <w:tcW w:w="2976"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SKOK im. Stefana Kardy</w:t>
            </w:r>
            <w:r w:rsidRPr="00DF679D">
              <w:rPr>
                <w:rFonts w:cs="Calibri Light"/>
                <w:sz w:val="18"/>
                <w:szCs w:val="18"/>
              </w:rPr>
              <w:t>nała Wyszyńskiego z siedzibą we </w:t>
            </w:r>
            <w:r w:rsidRPr="00DF679D" w:rsidDel="003750BA">
              <w:rPr>
                <w:rFonts w:cs="Calibri Light"/>
                <w:sz w:val="18"/>
                <w:szCs w:val="18"/>
              </w:rPr>
              <w:t xml:space="preserve">Wrześni </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31.12.2020</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RDefault="00206C1B" w:rsidP="00206C1B">
            <w:pPr>
              <w:spacing w:after="0"/>
              <w:ind w:hanging="36"/>
              <w:jc w:val="center"/>
              <w:rPr>
                <w:rFonts w:cs="Calibri Light"/>
                <w:sz w:val="18"/>
                <w:szCs w:val="18"/>
              </w:rPr>
            </w:pPr>
            <w:r w:rsidRPr="00DF679D" w:rsidDel="003750BA">
              <w:rPr>
                <w:rFonts w:cs="Calibri Light"/>
                <w:sz w:val="18"/>
                <w:szCs w:val="18"/>
              </w:rPr>
              <w:t xml:space="preserve">31.12.2020 (przychody) </w:t>
            </w:r>
          </w:p>
          <w:p w:rsidR="00206C1B" w:rsidRPr="00DF679D" w:rsidDel="003750BA" w:rsidRDefault="00206C1B" w:rsidP="00206C1B">
            <w:pPr>
              <w:spacing w:after="0"/>
              <w:ind w:hanging="36"/>
              <w:jc w:val="center"/>
              <w:rPr>
                <w:rFonts w:cs="Calibri Light"/>
                <w:sz w:val="18"/>
                <w:szCs w:val="18"/>
              </w:rPr>
            </w:pPr>
            <w:r w:rsidRPr="00DF679D" w:rsidDel="003750BA">
              <w:rPr>
                <w:rFonts w:cs="Calibri Light"/>
                <w:sz w:val="18"/>
                <w:szCs w:val="18"/>
              </w:rPr>
              <w:t>31.12.2022 (odwrócenia strat)</w:t>
            </w:r>
          </w:p>
        </w:tc>
      </w:tr>
      <w:tr w:rsidR="00206C1B" w:rsidRPr="00DF679D" w:rsidDel="003750BA" w:rsidTr="006F633C">
        <w:trPr>
          <w:trHeight w:val="246"/>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206C1B" w:rsidRPr="00DF679D" w:rsidDel="003750BA" w:rsidRDefault="00206C1B" w:rsidP="00206C1B">
            <w:pPr>
              <w:spacing w:after="0"/>
              <w:rPr>
                <w:rFonts w:cs="Calibri Light"/>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 xml:space="preserve">Powszechna SKOK z siedzibą w Knurowie </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31.12.2020</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31.12.2022</w:t>
            </w:r>
          </w:p>
        </w:tc>
      </w:tr>
      <w:tr w:rsidR="00206C1B" w:rsidRPr="00DF679D" w:rsidDel="003750BA" w:rsidTr="006F633C">
        <w:trPr>
          <w:trHeight w:val="246"/>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206C1B" w:rsidRPr="00DF679D" w:rsidDel="003750BA" w:rsidRDefault="00206C1B" w:rsidP="00206C1B">
            <w:pPr>
              <w:spacing w:after="0"/>
              <w:rPr>
                <w:rFonts w:cs="Calibri Light"/>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SKOK Jaworzno z siedzibą w Jaworznie</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31.03.2027</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31.03.2027</w:t>
            </w:r>
          </w:p>
        </w:tc>
      </w:tr>
      <w:tr w:rsidR="00206C1B" w:rsidRPr="00DF679D" w:rsidDel="003750BA" w:rsidTr="006F633C">
        <w:trPr>
          <w:trHeight w:val="246"/>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ING Bank Śląski S.A.</w:t>
            </w:r>
          </w:p>
        </w:tc>
        <w:tc>
          <w:tcPr>
            <w:tcW w:w="2976" w:type="dxa"/>
            <w:tcBorders>
              <w:top w:val="nil"/>
              <w:left w:val="nil"/>
              <w:bottom w:val="single" w:sz="4" w:space="0" w:color="auto"/>
              <w:right w:val="single" w:sz="4" w:space="0" w:color="auto"/>
            </w:tcBorders>
            <w:shd w:val="clear" w:color="auto" w:fill="auto"/>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Bieszczadzka SKOK z siedzibą w Sanoku</w:t>
            </w:r>
          </w:p>
        </w:tc>
        <w:tc>
          <w:tcPr>
            <w:tcW w:w="2420" w:type="dxa"/>
            <w:tcBorders>
              <w:top w:val="nil"/>
              <w:left w:val="nil"/>
              <w:bottom w:val="single" w:sz="4" w:space="0" w:color="auto"/>
              <w:right w:val="single" w:sz="4" w:space="0" w:color="auto"/>
            </w:tcBorders>
            <w:shd w:val="clear" w:color="auto" w:fill="auto"/>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31.07.2025</w:t>
            </w:r>
          </w:p>
        </w:tc>
        <w:tc>
          <w:tcPr>
            <w:tcW w:w="2420" w:type="dxa"/>
            <w:tcBorders>
              <w:top w:val="nil"/>
              <w:left w:val="nil"/>
              <w:bottom w:val="single" w:sz="4" w:space="0" w:color="auto"/>
              <w:right w:val="single" w:sz="4" w:space="0" w:color="auto"/>
            </w:tcBorders>
            <w:shd w:val="clear" w:color="auto" w:fill="auto"/>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31.07.2025</w:t>
            </w:r>
          </w:p>
        </w:tc>
      </w:tr>
      <w:tr w:rsidR="00206C1B" w:rsidRPr="00DF679D" w:rsidDel="003750BA" w:rsidTr="006F633C">
        <w:trPr>
          <w:trHeight w:val="246"/>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Bank BNP Paribas S.A.</w:t>
            </w:r>
          </w:p>
        </w:tc>
        <w:tc>
          <w:tcPr>
            <w:tcW w:w="2976"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SKOK Rafineria z siedzibą w Gdańsku</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30.04.2026</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30.04.2026</w:t>
            </w:r>
          </w:p>
        </w:tc>
      </w:tr>
      <w:tr w:rsidR="00206C1B" w:rsidRPr="00DF679D" w:rsidDel="003750BA" w:rsidTr="006F633C">
        <w:trPr>
          <w:trHeight w:val="137"/>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Bank Millennium S.A.</w:t>
            </w:r>
          </w:p>
        </w:tc>
        <w:tc>
          <w:tcPr>
            <w:tcW w:w="2976" w:type="dxa"/>
            <w:tcBorders>
              <w:top w:val="nil"/>
              <w:left w:val="nil"/>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SKOK Piast z siedzibą w Tychach</w:t>
            </w:r>
          </w:p>
        </w:tc>
        <w:tc>
          <w:tcPr>
            <w:tcW w:w="2420" w:type="dxa"/>
            <w:tcBorders>
              <w:top w:val="nil"/>
              <w:left w:val="nil"/>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30.09.2026</w:t>
            </w:r>
          </w:p>
        </w:tc>
        <w:tc>
          <w:tcPr>
            <w:tcW w:w="2420" w:type="dxa"/>
            <w:tcBorders>
              <w:top w:val="nil"/>
              <w:left w:val="nil"/>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30.09.2026</w:t>
            </w:r>
          </w:p>
        </w:tc>
      </w:tr>
      <w:tr w:rsidR="00206C1B" w:rsidRPr="00DF679D" w:rsidDel="003750BA" w:rsidTr="006F633C">
        <w:trPr>
          <w:trHeight w:val="153"/>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Bank Pekao S.A.</w:t>
            </w:r>
          </w:p>
        </w:tc>
        <w:tc>
          <w:tcPr>
            <w:tcW w:w="2976" w:type="dxa"/>
            <w:tcBorders>
              <w:top w:val="nil"/>
              <w:left w:val="nil"/>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left"/>
              <w:rPr>
                <w:rFonts w:cs="Calibri Light"/>
                <w:sz w:val="18"/>
                <w:szCs w:val="18"/>
              </w:rPr>
            </w:pPr>
            <w:r w:rsidRPr="00DF679D">
              <w:rPr>
                <w:rFonts w:cs="Calibri Light"/>
                <w:sz w:val="18"/>
                <w:szCs w:val="18"/>
              </w:rPr>
              <w:t>SKOK im. Kopernika z siedzibą w Ornontowicach</w:t>
            </w:r>
          </w:p>
        </w:tc>
        <w:tc>
          <w:tcPr>
            <w:tcW w:w="2420" w:type="dxa"/>
            <w:tcBorders>
              <w:top w:val="nil"/>
              <w:left w:val="nil"/>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center"/>
              <w:rPr>
                <w:rFonts w:cs="Calibri Light"/>
                <w:sz w:val="18"/>
                <w:szCs w:val="18"/>
              </w:rPr>
            </w:pPr>
            <w:r w:rsidRPr="00DF679D">
              <w:rPr>
                <w:rFonts w:eastAsia="Times New Roman" w:cs="Calibri Light"/>
                <w:sz w:val="18"/>
                <w:szCs w:val="18"/>
              </w:rPr>
              <w:t>21.12.2019</w:t>
            </w:r>
          </w:p>
        </w:tc>
        <w:tc>
          <w:tcPr>
            <w:tcW w:w="2420" w:type="dxa"/>
            <w:tcBorders>
              <w:top w:val="nil"/>
              <w:left w:val="nil"/>
              <w:bottom w:val="single" w:sz="4" w:space="0" w:color="auto"/>
              <w:right w:val="single" w:sz="4" w:space="0" w:color="auto"/>
            </w:tcBorders>
            <w:shd w:val="clear" w:color="000000" w:fill="FFFFFF"/>
            <w:vAlign w:val="center"/>
          </w:tcPr>
          <w:p w:rsidR="00206C1B" w:rsidRPr="00DF679D" w:rsidDel="003750BA" w:rsidRDefault="00206C1B" w:rsidP="00206C1B">
            <w:pPr>
              <w:spacing w:after="0"/>
              <w:ind w:firstLine="0"/>
              <w:jc w:val="center"/>
              <w:rPr>
                <w:rFonts w:cs="Calibri Light"/>
                <w:sz w:val="18"/>
                <w:szCs w:val="18"/>
              </w:rPr>
            </w:pPr>
            <w:r w:rsidRPr="00DF679D">
              <w:rPr>
                <w:rFonts w:cs="Calibri Light"/>
                <w:sz w:val="18"/>
                <w:szCs w:val="18"/>
              </w:rPr>
              <w:t>31.12.2019 (przychody) 31.12.2021 (odwrócenia strat)</w:t>
            </w:r>
          </w:p>
        </w:tc>
      </w:tr>
      <w:tr w:rsidR="00206C1B" w:rsidRPr="00DF679D" w:rsidDel="003750BA" w:rsidTr="006F633C">
        <w:trPr>
          <w:trHeight w:val="153"/>
        </w:trPr>
        <w:tc>
          <w:tcPr>
            <w:tcW w:w="1565"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left"/>
              <w:rPr>
                <w:rFonts w:cs="Calibri Light"/>
                <w:sz w:val="18"/>
                <w:szCs w:val="18"/>
              </w:rPr>
            </w:pPr>
            <w:r w:rsidRPr="00DF679D" w:rsidDel="003750BA">
              <w:rPr>
                <w:rFonts w:cs="Calibri Light"/>
                <w:sz w:val="18"/>
                <w:szCs w:val="18"/>
              </w:rPr>
              <w:t xml:space="preserve">Idea Bank S.A. </w:t>
            </w:r>
            <w:r w:rsidRPr="00DF679D">
              <w:rPr>
                <w:rFonts w:cs="Calibri Light"/>
                <w:sz w:val="18"/>
                <w:szCs w:val="18"/>
              </w:rPr>
              <w:t>z siedzibą w </w:t>
            </w:r>
            <w:r w:rsidRPr="00DF679D" w:rsidDel="003750BA">
              <w:rPr>
                <w:rFonts w:cs="Calibri Light"/>
                <w:sz w:val="18"/>
                <w:szCs w:val="18"/>
              </w:rPr>
              <w:t>Warszawie</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31.12.2028</w:t>
            </w:r>
            <w:r w:rsidRPr="00DF679D">
              <w:rPr>
                <w:rFonts w:cs="Calibri Light"/>
                <w:sz w:val="18"/>
                <w:szCs w:val="18"/>
              </w:rPr>
              <w:t xml:space="preserve"> (straty)</w:t>
            </w:r>
          </w:p>
        </w:tc>
        <w:tc>
          <w:tcPr>
            <w:tcW w:w="2420" w:type="dxa"/>
            <w:tcBorders>
              <w:top w:val="nil"/>
              <w:left w:val="nil"/>
              <w:bottom w:val="single" w:sz="4" w:space="0" w:color="auto"/>
              <w:right w:val="single" w:sz="4" w:space="0" w:color="auto"/>
            </w:tcBorders>
            <w:shd w:val="clear" w:color="000000" w:fill="FFFFFF"/>
            <w:vAlign w:val="center"/>
            <w:hideMark/>
          </w:tcPr>
          <w:p w:rsidR="00206C1B" w:rsidRPr="00DF679D" w:rsidDel="003750BA" w:rsidRDefault="00206C1B" w:rsidP="00206C1B">
            <w:pPr>
              <w:spacing w:after="0"/>
              <w:ind w:firstLine="0"/>
              <w:jc w:val="center"/>
              <w:rPr>
                <w:rFonts w:cs="Calibri Light"/>
                <w:sz w:val="18"/>
                <w:szCs w:val="18"/>
              </w:rPr>
            </w:pPr>
            <w:r w:rsidRPr="00DF679D" w:rsidDel="003750BA">
              <w:rPr>
                <w:rFonts w:cs="Calibri Light"/>
                <w:sz w:val="18"/>
                <w:szCs w:val="18"/>
              </w:rPr>
              <w:t>31.12.2028</w:t>
            </w:r>
            <w:r w:rsidRPr="00DF679D">
              <w:rPr>
                <w:rFonts w:cs="Calibri Light"/>
                <w:sz w:val="18"/>
                <w:szCs w:val="18"/>
              </w:rPr>
              <w:t xml:space="preserve"> (odwrócenia strat)</w:t>
            </w:r>
          </w:p>
        </w:tc>
      </w:tr>
    </w:tbl>
    <w:p w:rsidR="005D1A1E" w:rsidRDefault="005D1A1E" w:rsidP="00206C1B">
      <w:pPr>
        <w:spacing w:after="0"/>
        <w:rPr>
          <w:rFonts w:cs="Calibri Light"/>
        </w:rPr>
      </w:pPr>
    </w:p>
    <w:p w:rsidR="00206C1B" w:rsidRPr="00D50AEF" w:rsidRDefault="00206C1B"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Rozliczenia umów gwarancji pokrycia straty</w:t>
      </w:r>
    </w:p>
    <w:p w:rsidR="00206C1B" w:rsidRPr="00DF679D" w:rsidRDefault="00206C1B" w:rsidP="005D1A1E">
      <w:pPr>
        <w:widowControl w:val="0"/>
        <w:spacing w:after="120"/>
        <w:rPr>
          <w:rFonts w:cs="Calibri Light"/>
        </w:rPr>
      </w:pPr>
      <w:r w:rsidRPr="00DF679D">
        <w:rPr>
          <w:rFonts w:cs="Calibri Light"/>
        </w:rPr>
        <w:t>Maksymalne zobowiązanie Funduszu według stanu na 30 września 2022 r., wyliczone na podstawie wartości majątku objętego gwarancjami pokrycia strat wynikającej ze sprawozdań banków, zostało przedstawione w</w:t>
      </w:r>
      <w:r w:rsidR="005D1A1E">
        <w:rPr>
          <w:rFonts w:cs="Calibri Light"/>
        </w:rPr>
        <w:t xml:space="preserve"> </w:t>
      </w:r>
      <w:r w:rsidRPr="00DF679D">
        <w:rPr>
          <w:rFonts w:cs="Calibri Light"/>
        </w:rPr>
        <w:t>tabeli</w:t>
      </w:r>
      <w:r w:rsidR="005D1A1E">
        <w:rPr>
          <w:rFonts w:cs="Calibri Light"/>
        </w:rPr>
        <w:t xml:space="preserve"> </w:t>
      </w:r>
      <w:r w:rsidRPr="00DF679D">
        <w:rPr>
          <w:rFonts w:cs="Calibri Light"/>
        </w:rPr>
        <w:t>nr </w:t>
      </w:r>
      <w:r w:rsidR="005D1A1E">
        <w:rPr>
          <w:rFonts w:cs="Calibri Light"/>
        </w:rPr>
        <w:t>10</w:t>
      </w:r>
      <w:r w:rsidRPr="00DF679D">
        <w:rPr>
          <w:rFonts w:cs="Calibri Light"/>
        </w:rPr>
        <w:t>. Jest to potencjalne zobowiązanie, które wystąpiłoby, gdyby zaszła konieczność pokrycia straty w odniesieniu do wszystkich przejętych przez Banki praw majątkowych i zobowiązań. Na podstawie bieżących analiz można stwierdzić, że ryzyko takie nie występuje.</w:t>
      </w:r>
    </w:p>
    <w:p w:rsidR="00206C1B" w:rsidRPr="00DF679D" w:rsidRDefault="00206C1B" w:rsidP="00206C1B">
      <w:pPr>
        <w:spacing w:before="120" w:after="60"/>
        <w:ind w:firstLine="0"/>
        <w:rPr>
          <w:rFonts w:cs="Calibri Light"/>
          <w:b/>
        </w:rPr>
      </w:pPr>
      <w:r w:rsidRPr="00DF679D">
        <w:rPr>
          <w:rFonts w:cs="Calibri Light"/>
          <w:b/>
        </w:rPr>
        <w:t xml:space="preserve">Tabela </w:t>
      </w:r>
      <w:r w:rsidR="005D1A1E">
        <w:rPr>
          <w:rFonts w:cs="Calibri Light"/>
          <w:b/>
        </w:rPr>
        <w:t>10</w:t>
      </w:r>
      <w:r w:rsidRPr="00DF679D">
        <w:rPr>
          <w:rFonts w:cs="Calibri Light"/>
          <w:b/>
        </w:rPr>
        <w:t>. Maksymalna wartość zobowiązań wynikających z GPS</w:t>
      </w: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8"/>
        <w:gridCol w:w="3135"/>
        <w:gridCol w:w="2691"/>
      </w:tblGrid>
      <w:tr w:rsidR="00206C1B" w:rsidRPr="00DF679D" w:rsidTr="00206C1B">
        <w:trPr>
          <w:trHeight w:val="215"/>
          <w:tblHeader/>
        </w:trPr>
        <w:tc>
          <w:tcPr>
            <w:tcW w:w="3528" w:type="dxa"/>
            <w:shd w:val="clear" w:color="auto" w:fill="2A5384"/>
            <w:vAlign w:val="center"/>
            <w:hideMark/>
          </w:tcPr>
          <w:p w:rsidR="00206C1B" w:rsidRPr="00DF679D" w:rsidRDefault="00206C1B" w:rsidP="00206C1B">
            <w:pPr>
              <w:spacing w:after="0"/>
              <w:ind w:firstLine="0"/>
              <w:jc w:val="center"/>
              <w:rPr>
                <w:rFonts w:cs="Calibri Light"/>
                <w:b/>
                <w:bCs/>
                <w:color w:val="FFFFFF" w:themeColor="background1"/>
                <w:sz w:val="18"/>
                <w:szCs w:val="18"/>
              </w:rPr>
            </w:pPr>
            <w:r w:rsidRPr="00DF679D">
              <w:rPr>
                <w:rFonts w:cs="Calibri Light"/>
                <w:b/>
                <w:bCs/>
                <w:color w:val="FFFFFF" w:themeColor="background1"/>
                <w:sz w:val="18"/>
                <w:szCs w:val="18"/>
              </w:rPr>
              <w:t>Bank</w:t>
            </w:r>
          </w:p>
        </w:tc>
        <w:tc>
          <w:tcPr>
            <w:tcW w:w="3135" w:type="dxa"/>
            <w:shd w:val="clear" w:color="auto" w:fill="2A5384"/>
            <w:vAlign w:val="center"/>
            <w:hideMark/>
          </w:tcPr>
          <w:p w:rsidR="00206C1B" w:rsidRPr="00DF679D" w:rsidRDefault="00206C1B" w:rsidP="0073451F">
            <w:pPr>
              <w:spacing w:after="0"/>
              <w:ind w:firstLine="0"/>
              <w:jc w:val="center"/>
              <w:rPr>
                <w:rFonts w:cs="Calibri Light"/>
                <w:b/>
                <w:bCs/>
                <w:color w:val="FFFFFF" w:themeColor="background1"/>
                <w:sz w:val="18"/>
                <w:szCs w:val="18"/>
              </w:rPr>
            </w:pPr>
            <w:r w:rsidRPr="00DF679D">
              <w:rPr>
                <w:rFonts w:cs="Calibri Light"/>
                <w:b/>
                <w:bCs/>
                <w:color w:val="FFFFFF" w:themeColor="background1"/>
                <w:sz w:val="18"/>
                <w:szCs w:val="18"/>
              </w:rPr>
              <w:t>SKOK/B</w:t>
            </w:r>
            <w:r w:rsidR="0073451F">
              <w:rPr>
                <w:rFonts w:cs="Calibri Light"/>
                <w:b/>
                <w:bCs/>
                <w:color w:val="FFFFFF" w:themeColor="background1"/>
                <w:sz w:val="18"/>
                <w:szCs w:val="18"/>
              </w:rPr>
              <w:t>ank</w:t>
            </w:r>
          </w:p>
        </w:tc>
        <w:tc>
          <w:tcPr>
            <w:tcW w:w="2691" w:type="dxa"/>
            <w:shd w:val="clear" w:color="auto" w:fill="2A5384"/>
            <w:vAlign w:val="center"/>
            <w:hideMark/>
          </w:tcPr>
          <w:p w:rsidR="00206C1B" w:rsidRPr="00DF679D" w:rsidRDefault="00206C1B" w:rsidP="00206C1B">
            <w:pPr>
              <w:spacing w:after="0"/>
              <w:ind w:firstLine="0"/>
              <w:jc w:val="center"/>
              <w:rPr>
                <w:rFonts w:cs="Calibri Light"/>
                <w:b/>
                <w:bCs/>
                <w:color w:val="FFFFFF" w:themeColor="background1"/>
                <w:sz w:val="18"/>
                <w:szCs w:val="18"/>
              </w:rPr>
            </w:pPr>
            <w:r w:rsidRPr="00DF679D">
              <w:rPr>
                <w:rFonts w:cs="Calibri Light"/>
                <w:b/>
                <w:bCs/>
                <w:color w:val="FFFFFF" w:themeColor="background1"/>
                <w:sz w:val="18"/>
                <w:szCs w:val="18"/>
              </w:rPr>
              <w:t>Maksymalne zobowiązania Funduszu (tys. zł)</w:t>
            </w:r>
          </w:p>
        </w:tc>
      </w:tr>
      <w:tr w:rsidR="00206C1B" w:rsidRPr="00DF679D" w:rsidTr="00206C1B">
        <w:trPr>
          <w:trHeight w:val="215"/>
        </w:trPr>
        <w:tc>
          <w:tcPr>
            <w:tcW w:w="3528" w:type="dxa"/>
            <w:vMerge w:val="restart"/>
            <w:shd w:val="clear" w:color="auto" w:fill="FFFFFF" w:themeFill="background1"/>
            <w:vAlign w:val="center"/>
            <w:hideMark/>
          </w:tcPr>
          <w:p w:rsidR="00206C1B" w:rsidRPr="00DF679D" w:rsidRDefault="00206C1B" w:rsidP="00206C1B">
            <w:pPr>
              <w:spacing w:after="0"/>
              <w:ind w:firstLine="0"/>
              <w:rPr>
                <w:rFonts w:cs="Calibri Light"/>
                <w:bCs/>
                <w:sz w:val="18"/>
                <w:szCs w:val="18"/>
              </w:rPr>
            </w:pPr>
            <w:r w:rsidRPr="00DF679D">
              <w:rPr>
                <w:rFonts w:cs="Calibri Light"/>
                <w:bCs/>
                <w:sz w:val="18"/>
                <w:szCs w:val="18"/>
              </w:rPr>
              <w:t>Alior Bank S.A.</w:t>
            </w:r>
          </w:p>
        </w:tc>
        <w:tc>
          <w:tcPr>
            <w:tcW w:w="3135" w:type="dxa"/>
            <w:shd w:val="clear" w:color="auto" w:fill="FFFFFF" w:themeFill="background1"/>
            <w:vAlign w:val="center"/>
            <w:hideMark/>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SKOK Wyszyńskiego</w:t>
            </w:r>
          </w:p>
        </w:tc>
        <w:tc>
          <w:tcPr>
            <w:tcW w:w="2691" w:type="dxa"/>
            <w:shd w:val="clear" w:color="auto" w:fill="FFFFFF" w:themeFill="background1"/>
            <w:vAlign w:val="center"/>
            <w:hideMark/>
          </w:tcPr>
          <w:p w:rsidR="00206C1B" w:rsidRPr="00DF679D" w:rsidRDefault="00206C1B" w:rsidP="00206C1B">
            <w:pPr>
              <w:spacing w:after="0"/>
              <w:jc w:val="right"/>
              <w:rPr>
                <w:rFonts w:cs="Calibri Light"/>
                <w:bCs/>
                <w:sz w:val="18"/>
                <w:szCs w:val="18"/>
              </w:rPr>
            </w:pPr>
            <w:r w:rsidRPr="00DF679D">
              <w:rPr>
                <w:rFonts w:cs="Calibri Light"/>
                <w:bCs/>
                <w:sz w:val="18"/>
                <w:szCs w:val="18"/>
              </w:rPr>
              <w:t xml:space="preserve">0,0 </w:t>
            </w:r>
          </w:p>
        </w:tc>
      </w:tr>
      <w:tr w:rsidR="00206C1B" w:rsidRPr="00DF679D" w:rsidTr="00206C1B">
        <w:trPr>
          <w:trHeight w:val="215"/>
        </w:trPr>
        <w:tc>
          <w:tcPr>
            <w:tcW w:w="3528" w:type="dxa"/>
            <w:vMerge/>
            <w:shd w:val="clear" w:color="auto" w:fill="FFFFFF" w:themeFill="background1"/>
            <w:vAlign w:val="center"/>
            <w:hideMark/>
          </w:tcPr>
          <w:p w:rsidR="00206C1B" w:rsidRPr="00DF679D" w:rsidRDefault="00206C1B" w:rsidP="00206C1B">
            <w:pPr>
              <w:spacing w:after="0"/>
              <w:ind w:firstLine="70"/>
              <w:rPr>
                <w:rFonts w:cs="Calibri Light"/>
                <w:bCs/>
                <w:sz w:val="18"/>
                <w:szCs w:val="18"/>
              </w:rPr>
            </w:pPr>
          </w:p>
        </w:tc>
        <w:tc>
          <w:tcPr>
            <w:tcW w:w="3135" w:type="dxa"/>
            <w:shd w:val="clear" w:color="auto" w:fill="FFFFFF" w:themeFill="background1"/>
            <w:vAlign w:val="center"/>
            <w:hideMark/>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Powszechna SKOK</w:t>
            </w:r>
          </w:p>
        </w:tc>
        <w:tc>
          <w:tcPr>
            <w:tcW w:w="2691" w:type="dxa"/>
            <w:shd w:val="clear" w:color="auto" w:fill="FFFFFF" w:themeFill="background1"/>
            <w:vAlign w:val="center"/>
            <w:hideMark/>
          </w:tcPr>
          <w:p w:rsidR="00206C1B" w:rsidRPr="00DF679D" w:rsidRDefault="00206C1B" w:rsidP="00206C1B">
            <w:pPr>
              <w:spacing w:after="0"/>
              <w:jc w:val="right"/>
              <w:rPr>
                <w:rFonts w:cs="Calibri Light"/>
                <w:bCs/>
                <w:sz w:val="18"/>
                <w:szCs w:val="18"/>
              </w:rPr>
            </w:pPr>
            <w:r w:rsidRPr="00DF679D">
              <w:rPr>
                <w:rFonts w:cs="Calibri Light"/>
                <w:bCs/>
                <w:sz w:val="18"/>
                <w:szCs w:val="18"/>
              </w:rPr>
              <w:t>0,0</w:t>
            </w:r>
          </w:p>
        </w:tc>
      </w:tr>
      <w:tr w:rsidR="00206C1B" w:rsidRPr="00DF679D" w:rsidTr="00206C1B">
        <w:trPr>
          <w:trHeight w:val="215"/>
        </w:trPr>
        <w:tc>
          <w:tcPr>
            <w:tcW w:w="3528" w:type="dxa"/>
            <w:vMerge/>
            <w:shd w:val="clear" w:color="auto" w:fill="FFFFFF" w:themeFill="background1"/>
            <w:vAlign w:val="center"/>
            <w:hideMark/>
          </w:tcPr>
          <w:p w:rsidR="00206C1B" w:rsidRPr="00DF679D" w:rsidRDefault="00206C1B" w:rsidP="00206C1B">
            <w:pPr>
              <w:spacing w:after="0"/>
              <w:ind w:firstLine="70"/>
              <w:rPr>
                <w:rFonts w:cs="Calibri Light"/>
                <w:bCs/>
                <w:sz w:val="18"/>
                <w:szCs w:val="18"/>
              </w:rPr>
            </w:pPr>
          </w:p>
        </w:tc>
        <w:tc>
          <w:tcPr>
            <w:tcW w:w="3135" w:type="dxa"/>
            <w:shd w:val="clear" w:color="auto" w:fill="FFFFFF" w:themeFill="background1"/>
            <w:vAlign w:val="center"/>
            <w:hideMark/>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SKOK Jaworzno</w:t>
            </w:r>
          </w:p>
        </w:tc>
        <w:tc>
          <w:tcPr>
            <w:tcW w:w="2691" w:type="dxa"/>
            <w:shd w:val="clear" w:color="auto" w:fill="FFFFFF" w:themeFill="background1"/>
            <w:vAlign w:val="center"/>
            <w:hideMark/>
          </w:tcPr>
          <w:p w:rsidR="00206C1B" w:rsidRPr="00DF679D" w:rsidRDefault="00192E92" w:rsidP="00206C1B">
            <w:pPr>
              <w:spacing w:after="0"/>
              <w:jc w:val="right"/>
              <w:rPr>
                <w:rFonts w:cs="Calibri Light"/>
                <w:bCs/>
                <w:sz w:val="18"/>
                <w:szCs w:val="18"/>
              </w:rPr>
            </w:pPr>
            <w:r w:rsidRPr="00DF679D">
              <w:rPr>
                <w:rFonts w:cs="Calibri Light"/>
                <w:bCs/>
                <w:sz w:val="18"/>
                <w:szCs w:val="18"/>
              </w:rPr>
              <w:t>26 400,7</w:t>
            </w:r>
          </w:p>
        </w:tc>
      </w:tr>
      <w:tr w:rsidR="00206C1B" w:rsidRPr="00DF679D" w:rsidTr="00206C1B">
        <w:trPr>
          <w:trHeight w:val="215"/>
        </w:trPr>
        <w:tc>
          <w:tcPr>
            <w:tcW w:w="3528" w:type="dxa"/>
            <w:shd w:val="clear" w:color="auto" w:fill="FFFFFF" w:themeFill="background1"/>
            <w:vAlign w:val="center"/>
            <w:hideMark/>
          </w:tcPr>
          <w:p w:rsidR="00206C1B" w:rsidRPr="00DF679D" w:rsidRDefault="00206C1B" w:rsidP="00206C1B">
            <w:pPr>
              <w:spacing w:after="0"/>
              <w:ind w:firstLine="0"/>
              <w:rPr>
                <w:rFonts w:cs="Calibri Light"/>
                <w:bCs/>
                <w:sz w:val="18"/>
                <w:szCs w:val="18"/>
              </w:rPr>
            </w:pPr>
            <w:r w:rsidRPr="00DF679D">
              <w:rPr>
                <w:rFonts w:cs="Calibri Light"/>
                <w:bCs/>
                <w:sz w:val="18"/>
                <w:szCs w:val="18"/>
              </w:rPr>
              <w:t>ING Bank Śląski S.A.</w:t>
            </w:r>
          </w:p>
        </w:tc>
        <w:tc>
          <w:tcPr>
            <w:tcW w:w="3135" w:type="dxa"/>
            <w:shd w:val="clear" w:color="auto" w:fill="FFFFFF" w:themeFill="background1"/>
            <w:vAlign w:val="center"/>
            <w:hideMark/>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Bieszczadzka SKOK</w:t>
            </w:r>
          </w:p>
        </w:tc>
        <w:tc>
          <w:tcPr>
            <w:tcW w:w="2691" w:type="dxa"/>
            <w:shd w:val="clear" w:color="auto" w:fill="FFFFFF" w:themeFill="background1"/>
            <w:vAlign w:val="center"/>
            <w:hideMark/>
          </w:tcPr>
          <w:p w:rsidR="00206C1B" w:rsidRPr="00DF679D" w:rsidRDefault="00730040" w:rsidP="00B91739">
            <w:pPr>
              <w:spacing w:after="0"/>
              <w:jc w:val="right"/>
              <w:rPr>
                <w:rFonts w:cs="Calibri Light"/>
                <w:bCs/>
                <w:sz w:val="18"/>
                <w:szCs w:val="18"/>
              </w:rPr>
            </w:pPr>
            <w:r w:rsidRPr="00DF679D">
              <w:rPr>
                <w:rFonts w:cs="Calibri Light"/>
                <w:bCs/>
                <w:sz w:val="18"/>
                <w:szCs w:val="18"/>
              </w:rPr>
              <w:t>4 093,2</w:t>
            </w:r>
          </w:p>
        </w:tc>
      </w:tr>
      <w:tr w:rsidR="00206C1B" w:rsidRPr="00DF679D" w:rsidTr="00206C1B">
        <w:trPr>
          <w:trHeight w:val="215"/>
        </w:trPr>
        <w:tc>
          <w:tcPr>
            <w:tcW w:w="3528" w:type="dxa"/>
            <w:shd w:val="clear" w:color="auto" w:fill="FFFFFF" w:themeFill="background1"/>
            <w:vAlign w:val="center"/>
            <w:hideMark/>
          </w:tcPr>
          <w:p w:rsidR="00206C1B" w:rsidRPr="00DF679D" w:rsidRDefault="00206C1B" w:rsidP="00206C1B">
            <w:pPr>
              <w:spacing w:after="0"/>
              <w:ind w:firstLine="0"/>
              <w:rPr>
                <w:rFonts w:cs="Calibri Light"/>
                <w:bCs/>
                <w:sz w:val="18"/>
                <w:szCs w:val="18"/>
              </w:rPr>
            </w:pPr>
            <w:r w:rsidRPr="00DF679D">
              <w:rPr>
                <w:rFonts w:cs="Calibri Light"/>
                <w:bCs/>
                <w:sz w:val="18"/>
                <w:szCs w:val="18"/>
              </w:rPr>
              <w:t>BNP Paribas Bank Polska S.A.</w:t>
            </w:r>
          </w:p>
        </w:tc>
        <w:tc>
          <w:tcPr>
            <w:tcW w:w="3135" w:type="dxa"/>
            <w:shd w:val="clear" w:color="auto" w:fill="FFFFFF" w:themeFill="background1"/>
            <w:vAlign w:val="center"/>
            <w:hideMark/>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SKOK Rafineria</w:t>
            </w:r>
          </w:p>
        </w:tc>
        <w:tc>
          <w:tcPr>
            <w:tcW w:w="2691" w:type="dxa"/>
            <w:shd w:val="clear" w:color="auto" w:fill="FFFFFF" w:themeFill="background1"/>
            <w:vAlign w:val="center"/>
            <w:hideMark/>
          </w:tcPr>
          <w:p w:rsidR="00206C1B" w:rsidRPr="00DF679D" w:rsidRDefault="00B91739" w:rsidP="00EC5825">
            <w:pPr>
              <w:spacing w:after="0"/>
              <w:jc w:val="right"/>
              <w:rPr>
                <w:rFonts w:cs="Calibri Light"/>
                <w:bCs/>
                <w:sz w:val="18"/>
                <w:szCs w:val="18"/>
              </w:rPr>
            </w:pPr>
            <w:r w:rsidRPr="00DF679D">
              <w:rPr>
                <w:rFonts w:cs="Calibri Light"/>
                <w:bCs/>
                <w:sz w:val="18"/>
                <w:szCs w:val="18"/>
              </w:rPr>
              <w:t>3 175,2</w:t>
            </w:r>
          </w:p>
        </w:tc>
      </w:tr>
      <w:tr w:rsidR="00206C1B" w:rsidRPr="00DF679D" w:rsidTr="00206C1B">
        <w:trPr>
          <w:trHeight w:val="215"/>
        </w:trPr>
        <w:tc>
          <w:tcPr>
            <w:tcW w:w="3528" w:type="dxa"/>
            <w:shd w:val="clear" w:color="auto" w:fill="FFFFFF" w:themeFill="background1"/>
            <w:vAlign w:val="center"/>
            <w:hideMark/>
          </w:tcPr>
          <w:p w:rsidR="00206C1B" w:rsidRPr="00DF679D" w:rsidRDefault="00206C1B" w:rsidP="00206C1B">
            <w:pPr>
              <w:spacing w:after="0"/>
              <w:ind w:firstLine="0"/>
              <w:rPr>
                <w:rFonts w:cs="Calibri Light"/>
                <w:bCs/>
                <w:sz w:val="18"/>
                <w:szCs w:val="18"/>
              </w:rPr>
            </w:pPr>
            <w:r w:rsidRPr="00DF679D">
              <w:rPr>
                <w:rFonts w:cs="Calibri Light"/>
                <w:bCs/>
                <w:sz w:val="18"/>
                <w:szCs w:val="18"/>
              </w:rPr>
              <w:t>Bank Millennium S.A.</w:t>
            </w:r>
          </w:p>
        </w:tc>
        <w:tc>
          <w:tcPr>
            <w:tcW w:w="3135" w:type="dxa"/>
            <w:shd w:val="clear" w:color="auto" w:fill="FFFFFF" w:themeFill="background1"/>
            <w:vAlign w:val="center"/>
            <w:hideMark/>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SKOK Piast</w:t>
            </w:r>
          </w:p>
        </w:tc>
        <w:tc>
          <w:tcPr>
            <w:tcW w:w="2691" w:type="dxa"/>
            <w:shd w:val="clear" w:color="auto" w:fill="FFFFFF" w:themeFill="background1"/>
            <w:vAlign w:val="center"/>
            <w:hideMark/>
          </w:tcPr>
          <w:p w:rsidR="00206C1B" w:rsidRPr="00DF679D" w:rsidRDefault="0010305B" w:rsidP="00206C1B">
            <w:pPr>
              <w:spacing w:after="0"/>
              <w:jc w:val="right"/>
              <w:rPr>
                <w:rFonts w:cs="Calibri Light"/>
                <w:bCs/>
                <w:sz w:val="18"/>
                <w:szCs w:val="18"/>
              </w:rPr>
            </w:pPr>
            <w:r w:rsidRPr="00DF679D">
              <w:rPr>
                <w:rFonts w:cs="Calibri Light"/>
                <w:bCs/>
                <w:sz w:val="18"/>
                <w:szCs w:val="18"/>
              </w:rPr>
              <w:t>26 914,9</w:t>
            </w:r>
          </w:p>
        </w:tc>
      </w:tr>
      <w:tr w:rsidR="00206C1B" w:rsidRPr="00DF679D" w:rsidTr="00206C1B">
        <w:trPr>
          <w:trHeight w:val="215"/>
        </w:trPr>
        <w:tc>
          <w:tcPr>
            <w:tcW w:w="3528" w:type="dxa"/>
            <w:vMerge w:val="restart"/>
            <w:shd w:val="clear" w:color="auto" w:fill="FFFFFF" w:themeFill="background1"/>
            <w:vAlign w:val="center"/>
          </w:tcPr>
          <w:p w:rsidR="00206C1B" w:rsidRPr="00DF679D" w:rsidRDefault="00206C1B" w:rsidP="00206C1B">
            <w:pPr>
              <w:spacing w:after="0"/>
              <w:ind w:firstLine="0"/>
              <w:rPr>
                <w:rFonts w:cs="Calibri Light"/>
                <w:bCs/>
                <w:sz w:val="18"/>
                <w:szCs w:val="18"/>
              </w:rPr>
            </w:pPr>
            <w:r w:rsidRPr="00DF679D">
              <w:rPr>
                <w:rFonts w:cs="Calibri Light"/>
                <w:bCs/>
                <w:sz w:val="18"/>
                <w:szCs w:val="18"/>
              </w:rPr>
              <w:t>Bank Pekao S.A.</w:t>
            </w:r>
          </w:p>
        </w:tc>
        <w:tc>
          <w:tcPr>
            <w:tcW w:w="3135" w:type="dxa"/>
            <w:shd w:val="clear" w:color="auto" w:fill="FFFFFF" w:themeFill="background1"/>
            <w:vAlign w:val="center"/>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SKOK im. Kopernika</w:t>
            </w:r>
          </w:p>
        </w:tc>
        <w:tc>
          <w:tcPr>
            <w:tcW w:w="2691" w:type="dxa"/>
            <w:shd w:val="clear" w:color="auto" w:fill="FFFFFF" w:themeFill="background1"/>
            <w:vAlign w:val="center"/>
          </w:tcPr>
          <w:p w:rsidR="00206C1B" w:rsidRPr="00DF679D" w:rsidRDefault="00206C1B" w:rsidP="00206C1B">
            <w:pPr>
              <w:spacing w:after="0"/>
              <w:jc w:val="right"/>
              <w:rPr>
                <w:rFonts w:cs="Calibri Light"/>
                <w:bCs/>
                <w:sz w:val="18"/>
                <w:szCs w:val="18"/>
              </w:rPr>
            </w:pPr>
            <w:r w:rsidRPr="00DF679D">
              <w:rPr>
                <w:rFonts w:cs="Calibri Light"/>
                <w:bCs/>
                <w:sz w:val="18"/>
                <w:szCs w:val="18"/>
              </w:rPr>
              <w:t>0,0</w:t>
            </w:r>
          </w:p>
        </w:tc>
      </w:tr>
      <w:tr w:rsidR="00206C1B" w:rsidRPr="00DF679D" w:rsidTr="00206C1B">
        <w:trPr>
          <w:trHeight w:val="215"/>
        </w:trPr>
        <w:tc>
          <w:tcPr>
            <w:tcW w:w="3528" w:type="dxa"/>
            <w:vMerge/>
            <w:shd w:val="clear" w:color="auto" w:fill="FFFFFF" w:themeFill="background1"/>
            <w:vAlign w:val="center"/>
            <w:hideMark/>
          </w:tcPr>
          <w:p w:rsidR="00206C1B" w:rsidRPr="00DF679D" w:rsidRDefault="00206C1B" w:rsidP="00206C1B">
            <w:pPr>
              <w:spacing w:after="0"/>
              <w:rPr>
                <w:rFonts w:cs="Calibri Light"/>
                <w:bCs/>
                <w:sz w:val="18"/>
                <w:szCs w:val="18"/>
              </w:rPr>
            </w:pPr>
          </w:p>
        </w:tc>
        <w:tc>
          <w:tcPr>
            <w:tcW w:w="3135" w:type="dxa"/>
            <w:shd w:val="clear" w:color="auto" w:fill="FFFFFF" w:themeFill="background1"/>
            <w:vAlign w:val="center"/>
            <w:hideMark/>
          </w:tcPr>
          <w:p w:rsidR="00206C1B" w:rsidRPr="00DF679D" w:rsidRDefault="00206C1B" w:rsidP="00206C1B">
            <w:pPr>
              <w:spacing w:after="0"/>
              <w:ind w:firstLine="0"/>
              <w:jc w:val="left"/>
              <w:rPr>
                <w:rFonts w:cs="Calibri Light"/>
                <w:bCs/>
                <w:sz w:val="18"/>
                <w:szCs w:val="18"/>
              </w:rPr>
            </w:pPr>
            <w:r w:rsidRPr="00DF679D">
              <w:rPr>
                <w:rFonts w:cs="Calibri Light"/>
                <w:bCs/>
                <w:sz w:val="18"/>
                <w:szCs w:val="18"/>
              </w:rPr>
              <w:t>Idea Bank S.A.</w:t>
            </w:r>
          </w:p>
        </w:tc>
        <w:tc>
          <w:tcPr>
            <w:tcW w:w="2691" w:type="dxa"/>
            <w:shd w:val="clear" w:color="auto" w:fill="FFFFFF" w:themeFill="background1"/>
            <w:vAlign w:val="center"/>
            <w:hideMark/>
          </w:tcPr>
          <w:p w:rsidR="00206C1B" w:rsidRPr="00DF679D" w:rsidRDefault="00206C1B" w:rsidP="00206C1B">
            <w:pPr>
              <w:spacing w:after="0"/>
              <w:jc w:val="right"/>
              <w:rPr>
                <w:rFonts w:cs="Calibri Light"/>
                <w:bCs/>
                <w:color w:val="000000" w:themeColor="text1"/>
                <w:sz w:val="18"/>
                <w:szCs w:val="18"/>
              </w:rPr>
            </w:pPr>
            <w:r w:rsidRPr="00DF679D">
              <w:rPr>
                <w:rFonts w:cs="Calibri Light"/>
                <w:bCs/>
                <w:color w:val="000000" w:themeColor="text1"/>
                <w:sz w:val="18"/>
                <w:szCs w:val="18"/>
              </w:rPr>
              <w:t>12 441 748,0</w:t>
            </w:r>
          </w:p>
        </w:tc>
      </w:tr>
      <w:tr w:rsidR="00206C1B" w:rsidRPr="00DF679D" w:rsidTr="00206C1B">
        <w:trPr>
          <w:trHeight w:val="71"/>
        </w:trPr>
        <w:tc>
          <w:tcPr>
            <w:tcW w:w="6663" w:type="dxa"/>
            <w:gridSpan w:val="2"/>
            <w:shd w:val="clear" w:color="auto" w:fill="DDEBF7"/>
            <w:vAlign w:val="center"/>
            <w:hideMark/>
          </w:tcPr>
          <w:p w:rsidR="00206C1B" w:rsidRPr="00DF679D" w:rsidRDefault="00206C1B" w:rsidP="00206C1B">
            <w:pPr>
              <w:spacing w:after="0"/>
              <w:rPr>
                <w:rFonts w:cs="Calibri Light"/>
                <w:b/>
                <w:bCs/>
                <w:sz w:val="18"/>
                <w:szCs w:val="18"/>
              </w:rPr>
            </w:pPr>
            <w:r w:rsidRPr="00DF679D">
              <w:rPr>
                <w:rFonts w:cs="Calibri Light"/>
                <w:b/>
                <w:bCs/>
                <w:sz w:val="18"/>
                <w:szCs w:val="18"/>
              </w:rPr>
              <w:t>RAZEM</w:t>
            </w:r>
          </w:p>
        </w:tc>
        <w:tc>
          <w:tcPr>
            <w:tcW w:w="2691" w:type="dxa"/>
            <w:shd w:val="clear" w:color="auto" w:fill="DDEBF7"/>
            <w:vAlign w:val="center"/>
            <w:hideMark/>
          </w:tcPr>
          <w:p w:rsidR="00206C1B" w:rsidRPr="00DF679D" w:rsidRDefault="00206C1B" w:rsidP="00B91739">
            <w:pPr>
              <w:spacing w:after="0"/>
              <w:jc w:val="right"/>
              <w:rPr>
                <w:rFonts w:cs="Calibri Light"/>
                <w:b/>
                <w:bCs/>
                <w:color w:val="000000" w:themeColor="text1"/>
                <w:sz w:val="18"/>
                <w:szCs w:val="18"/>
              </w:rPr>
            </w:pPr>
            <w:r w:rsidRPr="00DF679D">
              <w:rPr>
                <w:rFonts w:cs="Calibri Light"/>
                <w:b/>
                <w:bCs/>
                <w:color w:val="000000" w:themeColor="text1"/>
                <w:sz w:val="18"/>
                <w:szCs w:val="18"/>
              </w:rPr>
              <w:t>12</w:t>
            </w:r>
            <w:r w:rsidR="00192E92" w:rsidRPr="00DF679D">
              <w:rPr>
                <w:rFonts w:cs="Calibri Light"/>
                <w:b/>
                <w:bCs/>
                <w:color w:val="000000" w:themeColor="text1"/>
                <w:sz w:val="18"/>
                <w:szCs w:val="18"/>
              </w:rPr>
              <w:t> 502 332,0</w:t>
            </w:r>
          </w:p>
        </w:tc>
      </w:tr>
    </w:tbl>
    <w:p w:rsidR="00206C1B" w:rsidRPr="00D50AEF" w:rsidRDefault="00206C1B"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Zdarzenia dotyczące umów GPS</w:t>
      </w:r>
    </w:p>
    <w:p w:rsidR="00206C1B" w:rsidRPr="00DF679D" w:rsidRDefault="00206C1B" w:rsidP="00206C1B">
      <w:pPr>
        <w:spacing w:after="120"/>
        <w:rPr>
          <w:rFonts w:cs="Calibri Light"/>
        </w:rPr>
      </w:pPr>
      <w:r w:rsidRPr="00DF679D">
        <w:rPr>
          <w:rFonts w:cs="Calibri Light"/>
        </w:rPr>
        <w:t>W III kwartale 2022 r. miały miejsce następujące zdarzenia dotyczące umów GPS:</w:t>
      </w:r>
    </w:p>
    <w:p w:rsidR="00206C1B" w:rsidRPr="00DF679D" w:rsidRDefault="00206C1B" w:rsidP="008004CF">
      <w:pPr>
        <w:numPr>
          <w:ilvl w:val="0"/>
          <w:numId w:val="9"/>
        </w:numPr>
        <w:spacing w:after="120"/>
        <w:ind w:left="714" w:hanging="357"/>
        <w:rPr>
          <w:rFonts w:cs="Calibri Light"/>
          <w:b/>
        </w:rPr>
      </w:pPr>
      <w:r w:rsidRPr="00DF679D">
        <w:rPr>
          <w:rFonts w:cs="Calibri Light"/>
          <w:b/>
        </w:rPr>
        <w:t xml:space="preserve">Alior Bank S.A. </w:t>
      </w:r>
      <w:r w:rsidRPr="00DF679D">
        <w:rPr>
          <w:rFonts w:cs="Calibri Light"/>
        </w:rPr>
        <w:t>(wsparcie udzielone w związku z przejęciem SKOK Wyszyńskiego, Powszechnej SKOK i SKOK Jaworzno):</w:t>
      </w:r>
    </w:p>
    <w:p w:rsidR="00CD4372" w:rsidRPr="00DF679D" w:rsidRDefault="009768B3" w:rsidP="008004CF">
      <w:pPr>
        <w:numPr>
          <w:ilvl w:val="0"/>
          <w:numId w:val="10"/>
        </w:numPr>
        <w:spacing w:after="0"/>
        <w:ind w:left="1071" w:hanging="357"/>
        <w:rPr>
          <w:rFonts w:cs="Calibri Light"/>
          <w:iCs/>
          <w:color w:val="000000" w:themeColor="text1"/>
        </w:rPr>
      </w:pPr>
      <w:r w:rsidRPr="00DF679D">
        <w:rPr>
          <w:rFonts w:cs="Calibri Light"/>
          <w:iCs/>
          <w:color w:val="000000" w:themeColor="text1"/>
        </w:rPr>
        <w:t>21 lipca</w:t>
      </w:r>
      <w:r w:rsidR="00A455E4" w:rsidRPr="00DF679D">
        <w:rPr>
          <w:rFonts w:cs="Calibri Light"/>
          <w:iCs/>
          <w:color w:val="000000" w:themeColor="text1"/>
        </w:rPr>
        <w:t xml:space="preserve"> 2022 r</w:t>
      </w:r>
      <w:r w:rsidR="00206C1B" w:rsidRPr="00DF679D">
        <w:rPr>
          <w:rFonts w:cs="Calibri Light"/>
          <w:iCs/>
          <w:color w:val="000000" w:themeColor="text1"/>
        </w:rPr>
        <w:t>.</w:t>
      </w:r>
      <w:r w:rsidR="00A455E4" w:rsidRPr="00DF679D">
        <w:rPr>
          <w:rFonts w:cs="Calibri Light"/>
          <w:iCs/>
          <w:color w:val="000000" w:themeColor="text1"/>
        </w:rPr>
        <w:t xml:space="preserve"> </w:t>
      </w:r>
      <w:r w:rsidRPr="00DF679D">
        <w:rPr>
          <w:rFonts w:cs="Calibri Light"/>
          <w:iCs/>
          <w:color w:val="000000" w:themeColor="text1"/>
        </w:rPr>
        <w:t xml:space="preserve">Zarząd Funduszu podjął decyzje w sprawie wniosku Banku o wyrażenie zgody na sprzedaż prawa majątkowego - nieruchomości położonej we Wrześni przy </w:t>
      </w:r>
      <w:r w:rsidR="00B91739" w:rsidRPr="00DF679D">
        <w:rPr>
          <w:rFonts w:cs="Calibri Light"/>
          <w:iCs/>
          <w:color w:val="000000" w:themeColor="text1"/>
        </w:rPr>
        <w:br/>
      </w:r>
      <w:r w:rsidRPr="00DF679D">
        <w:rPr>
          <w:rFonts w:cs="Calibri Light"/>
          <w:iCs/>
          <w:color w:val="000000" w:themeColor="text1"/>
        </w:rPr>
        <w:t>ul. Staszica 14 objętego wsparciem udzielonym w procesie restrukturyzacji SKOK Wyszyńskiego</w:t>
      </w:r>
      <w:r w:rsidR="00605BA6" w:rsidRPr="00DF679D">
        <w:rPr>
          <w:rFonts w:cs="Calibri Light"/>
          <w:iCs/>
          <w:color w:val="000000" w:themeColor="text1"/>
        </w:rPr>
        <w:t>;</w:t>
      </w:r>
    </w:p>
    <w:p w:rsidR="00FF4BE1" w:rsidRPr="00DF679D" w:rsidRDefault="00F82AC0" w:rsidP="008004CF">
      <w:pPr>
        <w:numPr>
          <w:ilvl w:val="0"/>
          <w:numId w:val="10"/>
        </w:numPr>
        <w:spacing w:after="0"/>
        <w:ind w:left="1071" w:hanging="357"/>
        <w:rPr>
          <w:rFonts w:cs="Calibri Light"/>
          <w:iCs/>
          <w:color w:val="000000" w:themeColor="text1"/>
        </w:rPr>
      </w:pPr>
      <w:r w:rsidRPr="00DF679D">
        <w:rPr>
          <w:rFonts w:cs="Calibri Light"/>
          <w:iCs/>
          <w:color w:val="000000" w:themeColor="text1"/>
        </w:rPr>
        <w:t>28 lipca 2022 r. Zarząd Funduszu zatwierdził sprawozdanie za XI okres rozliczeniowy Alior Banku S.A. w związku z udzielonym Bankowi wsparciem w procesie restrukturyzacji Powszechnej SKOK</w:t>
      </w:r>
      <w:r w:rsidR="00FF4BE1" w:rsidRPr="00DF679D">
        <w:rPr>
          <w:rFonts w:cs="Calibri Light"/>
          <w:iCs/>
          <w:color w:val="000000" w:themeColor="text1"/>
        </w:rPr>
        <w:t xml:space="preserve"> z wynikiem rozliczenia: należność Funduszu od Banku w kwocie 234</w:t>
      </w:r>
      <w:r w:rsidR="00BE0283">
        <w:rPr>
          <w:rFonts w:cs="Calibri Light"/>
          <w:iCs/>
          <w:color w:val="000000" w:themeColor="text1"/>
        </w:rPr>
        <w:t xml:space="preserve"> </w:t>
      </w:r>
      <w:r w:rsidR="00FF4BE1" w:rsidRPr="00DF679D">
        <w:rPr>
          <w:rFonts w:cs="Calibri Light"/>
          <w:iCs/>
          <w:color w:val="000000" w:themeColor="text1"/>
        </w:rPr>
        <w:t>600,78 zł;</w:t>
      </w:r>
    </w:p>
    <w:p w:rsidR="00192E92" w:rsidRPr="00DF679D" w:rsidRDefault="00F82AC0" w:rsidP="008004CF">
      <w:pPr>
        <w:numPr>
          <w:ilvl w:val="0"/>
          <w:numId w:val="10"/>
        </w:numPr>
        <w:spacing w:after="0"/>
        <w:ind w:left="1071" w:hanging="357"/>
        <w:rPr>
          <w:rFonts w:cs="Calibri Light"/>
          <w:iCs/>
          <w:color w:val="000000" w:themeColor="text1"/>
        </w:rPr>
      </w:pPr>
      <w:r w:rsidRPr="00DF679D">
        <w:rPr>
          <w:rFonts w:cs="Calibri Light"/>
          <w:iCs/>
          <w:color w:val="000000" w:themeColor="text1"/>
        </w:rPr>
        <w:t>9 września 2022 r. Zarząd Funduszu zatwierdził sprawozdanie za XII okres rozliczeniowy Alior Banku S.A. w związku z udzielonym Bankowi wsparciem w procesie restrukturyzacji Powszechnej SKOK</w:t>
      </w:r>
      <w:r w:rsidR="00FF4BE1" w:rsidRPr="00DF679D">
        <w:rPr>
          <w:rFonts w:cs="Calibri Light"/>
          <w:iCs/>
          <w:color w:val="000000" w:themeColor="text1"/>
        </w:rPr>
        <w:t xml:space="preserve"> z wynikiem rozliczenia: należność Funduszu od Banku w kwocie 696</w:t>
      </w:r>
      <w:r w:rsidR="00BE0283">
        <w:rPr>
          <w:rFonts w:cs="Calibri Light"/>
          <w:iCs/>
          <w:color w:val="000000" w:themeColor="text1"/>
        </w:rPr>
        <w:t xml:space="preserve"> </w:t>
      </w:r>
      <w:r w:rsidR="00FF4BE1" w:rsidRPr="00DF679D">
        <w:rPr>
          <w:rFonts w:cs="Calibri Light"/>
          <w:iCs/>
          <w:color w:val="000000" w:themeColor="text1"/>
        </w:rPr>
        <w:t>963,23 zł</w:t>
      </w:r>
      <w:r w:rsidR="00B91739" w:rsidRPr="00DF679D">
        <w:rPr>
          <w:rFonts w:cs="Calibri Light"/>
          <w:iCs/>
          <w:color w:val="000000" w:themeColor="text1"/>
        </w:rPr>
        <w:t>;</w:t>
      </w:r>
    </w:p>
    <w:p w:rsidR="00727CD0" w:rsidRPr="00DF679D" w:rsidRDefault="00727CD0" w:rsidP="008004CF">
      <w:pPr>
        <w:pStyle w:val="Akapitzlist"/>
        <w:numPr>
          <w:ilvl w:val="0"/>
          <w:numId w:val="10"/>
        </w:numPr>
        <w:rPr>
          <w:rFonts w:cs="Calibri Light"/>
          <w:iCs/>
          <w:color w:val="000000" w:themeColor="text1"/>
        </w:rPr>
      </w:pPr>
      <w:r w:rsidRPr="00DF679D">
        <w:rPr>
          <w:rFonts w:cs="Calibri Light"/>
          <w:iCs/>
          <w:color w:val="000000" w:themeColor="text1"/>
        </w:rPr>
        <w:t>12 września 2022 r. Dyrektor DMW podjęła pozytywną decyzję w sprawie wniosku Banku o umorzenie skryptów dłużnych objętych wsparciem udzielonym w procesie restrukturyzacji Powszechnej SKOK;</w:t>
      </w:r>
    </w:p>
    <w:p w:rsidR="00206C1B" w:rsidRPr="00DF679D" w:rsidRDefault="00206C1B" w:rsidP="008004CF">
      <w:pPr>
        <w:numPr>
          <w:ilvl w:val="0"/>
          <w:numId w:val="9"/>
        </w:numPr>
        <w:spacing w:after="120"/>
        <w:ind w:left="714" w:hanging="357"/>
        <w:rPr>
          <w:rFonts w:cs="Calibri Light"/>
        </w:rPr>
      </w:pPr>
      <w:r w:rsidRPr="00DF679D">
        <w:rPr>
          <w:rFonts w:cs="Calibri Light"/>
          <w:b/>
        </w:rPr>
        <w:t xml:space="preserve">ING Bank Śląski S.A. </w:t>
      </w:r>
      <w:r w:rsidRPr="00DF679D">
        <w:rPr>
          <w:rFonts w:cs="Calibri Light"/>
        </w:rPr>
        <w:t>(wsparcie udzielone w związku z przejęciem Bieszczadzk</w:t>
      </w:r>
      <w:r w:rsidR="00BE0283">
        <w:rPr>
          <w:rFonts w:cs="Calibri Light"/>
        </w:rPr>
        <w:t>iej</w:t>
      </w:r>
      <w:r w:rsidRPr="00DF679D">
        <w:rPr>
          <w:rFonts w:cs="Calibri Light"/>
        </w:rPr>
        <w:t xml:space="preserve"> SKOK):</w:t>
      </w:r>
    </w:p>
    <w:p w:rsidR="00206C1B" w:rsidRPr="00DF679D" w:rsidRDefault="004B45CE" w:rsidP="008004CF">
      <w:pPr>
        <w:numPr>
          <w:ilvl w:val="0"/>
          <w:numId w:val="12"/>
        </w:numPr>
        <w:spacing w:after="120"/>
        <w:ind w:left="1071" w:hanging="357"/>
        <w:contextualSpacing/>
        <w:rPr>
          <w:rFonts w:cs="Calibri Light"/>
          <w:iCs/>
          <w:color w:val="000000" w:themeColor="text1"/>
        </w:rPr>
      </w:pPr>
      <w:r w:rsidRPr="00DF679D">
        <w:rPr>
          <w:rFonts w:cs="Calibri Light"/>
          <w:color w:val="000000" w:themeColor="text1"/>
        </w:rPr>
        <w:t>7 lipca</w:t>
      </w:r>
      <w:r w:rsidR="00206C1B" w:rsidRPr="00DF679D">
        <w:rPr>
          <w:rFonts w:cs="Calibri Light"/>
          <w:color w:val="000000" w:themeColor="text1"/>
        </w:rPr>
        <w:t xml:space="preserve"> 2022 r. </w:t>
      </w:r>
      <w:r w:rsidRPr="00DF679D">
        <w:rPr>
          <w:rFonts w:cs="Calibri Light"/>
          <w:iCs/>
          <w:color w:val="000000" w:themeColor="text1"/>
          <w:spacing w:val="-4"/>
        </w:rPr>
        <w:t>Zarząd Funduszu zatwierdził sprawozdanie za VIII okres rozliczeniowy</w:t>
      </w:r>
      <w:r w:rsidR="00A90E33" w:rsidRPr="00DF679D">
        <w:rPr>
          <w:rFonts w:eastAsia="Times New Roman" w:cs="Calibri Light"/>
          <w:sz w:val="20"/>
          <w:szCs w:val="20"/>
        </w:rPr>
        <w:t xml:space="preserve"> </w:t>
      </w:r>
      <w:r w:rsidR="00A90E33" w:rsidRPr="00DF679D">
        <w:rPr>
          <w:rFonts w:eastAsia="Times New Roman" w:cs="Calibri Light"/>
          <w:sz w:val="20"/>
          <w:szCs w:val="20"/>
        </w:rPr>
        <w:br/>
      </w:r>
      <w:r w:rsidR="00A90E33" w:rsidRPr="00DF679D">
        <w:rPr>
          <w:rFonts w:cs="Calibri Light"/>
          <w:iCs/>
          <w:color w:val="000000" w:themeColor="text1"/>
          <w:spacing w:val="-4"/>
        </w:rPr>
        <w:t>z wynikiem rozliczenia: należność Funduszu od Banku w kwocie 92</w:t>
      </w:r>
      <w:r w:rsidR="00BE0283">
        <w:rPr>
          <w:rFonts w:cs="Calibri Light"/>
          <w:iCs/>
          <w:color w:val="000000" w:themeColor="text1"/>
          <w:spacing w:val="-4"/>
        </w:rPr>
        <w:t xml:space="preserve"> </w:t>
      </w:r>
      <w:r w:rsidR="00A90E33" w:rsidRPr="00DF679D">
        <w:rPr>
          <w:rFonts w:cs="Calibri Light"/>
          <w:iCs/>
          <w:color w:val="000000" w:themeColor="text1"/>
          <w:spacing w:val="-4"/>
        </w:rPr>
        <w:t>398,93 zł</w:t>
      </w:r>
      <w:r w:rsidR="00730040" w:rsidRPr="00DF679D">
        <w:rPr>
          <w:rFonts w:cs="Calibri Light"/>
          <w:iCs/>
          <w:color w:val="000000" w:themeColor="text1"/>
          <w:spacing w:val="-4"/>
        </w:rPr>
        <w:t>;</w:t>
      </w:r>
    </w:p>
    <w:p w:rsidR="004B45CE" w:rsidRPr="00DF679D" w:rsidRDefault="004B45CE" w:rsidP="004B45CE">
      <w:pPr>
        <w:spacing w:after="120"/>
        <w:ind w:left="1071" w:firstLine="0"/>
        <w:contextualSpacing/>
        <w:rPr>
          <w:rFonts w:cs="Calibri Light"/>
          <w:iCs/>
          <w:color w:val="000000" w:themeColor="text1"/>
        </w:rPr>
      </w:pPr>
    </w:p>
    <w:p w:rsidR="00206C1B" w:rsidRPr="00DF679D" w:rsidRDefault="00206C1B" w:rsidP="008004CF">
      <w:pPr>
        <w:numPr>
          <w:ilvl w:val="0"/>
          <w:numId w:val="9"/>
        </w:numPr>
        <w:spacing w:before="120" w:after="120"/>
        <w:ind w:left="714" w:hanging="357"/>
        <w:rPr>
          <w:rFonts w:cs="Calibri Light"/>
        </w:rPr>
      </w:pPr>
      <w:r w:rsidRPr="00DF679D">
        <w:rPr>
          <w:rFonts w:cs="Calibri Light"/>
          <w:b/>
        </w:rPr>
        <w:t>BNP Paribas Bank Polska S.A.</w:t>
      </w:r>
      <w:r w:rsidRPr="00DF679D">
        <w:rPr>
          <w:rFonts w:cs="Calibri Light"/>
        </w:rPr>
        <w:t xml:space="preserve"> (wsparcie udzielone w związku z przejęciem SKOK Rafineria):</w:t>
      </w:r>
    </w:p>
    <w:p w:rsidR="00206C1B" w:rsidRPr="00DF679D" w:rsidRDefault="00206C1B" w:rsidP="008004CF">
      <w:pPr>
        <w:numPr>
          <w:ilvl w:val="0"/>
          <w:numId w:val="11"/>
        </w:numPr>
        <w:spacing w:after="120"/>
        <w:ind w:left="1071" w:hanging="357"/>
        <w:rPr>
          <w:rFonts w:cs="Calibri Light"/>
          <w:iCs/>
          <w:color w:val="000000" w:themeColor="text1"/>
          <w:spacing w:val="-4"/>
        </w:rPr>
      </w:pPr>
      <w:r w:rsidRPr="00DF679D">
        <w:rPr>
          <w:rFonts w:cs="Calibri Light"/>
          <w:iCs/>
          <w:color w:val="000000" w:themeColor="text1"/>
          <w:spacing w:val="-4"/>
        </w:rPr>
        <w:t xml:space="preserve">28 </w:t>
      </w:r>
      <w:r w:rsidR="004B45CE" w:rsidRPr="00DF679D">
        <w:rPr>
          <w:rFonts w:cs="Calibri Light"/>
          <w:iCs/>
          <w:color w:val="000000" w:themeColor="text1"/>
          <w:spacing w:val="-4"/>
        </w:rPr>
        <w:t>lipca</w:t>
      </w:r>
      <w:r w:rsidRPr="00DF679D">
        <w:rPr>
          <w:rFonts w:cs="Calibri Light"/>
          <w:iCs/>
          <w:color w:val="000000" w:themeColor="text1"/>
          <w:spacing w:val="-4"/>
        </w:rPr>
        <w:t xml:space="preserve"> 2022 r. Zarząd Funduszu zatwierdził sprawozdanie za VI</w:t>
      </w:r>
      <w:r w:rsidR="004B45CE" w:rsidRPr="00DF679D">
        <w:rPr>
          <w:rFonts w:cs="Calibri Light"/>
          <w:iCs/>
          <w:color w:val="000000" w:themeColor="text1"/>
          <w:spacing w:val="-4"/>
        </w:rPr>
        <w:t>I</w:t>
      </w:r>
      <w:r w:rsidRPr="00DF679D">
        <w:rPr>
          <w:rFonts w:cs="Calibri Light"/>
          <w:iCs/>
          <w:color w:val="000000" w:themeColor="text1"/>
          <w:spacing w:val="-4"/>
        </w:rPr>
        <w:t>I okres rozliczeniowy</w:t>
      </w:r>
      <w:r w:rsidR="00A90E33" w:rsidRPr="00DF679D">
        <w:rPr>
          <w:rFonts w:cs="Calibri Light"/>
          <w:iCs/>
          <w:color w:val="000000" w:themeColor="text1"/>
          <w:spacing w:val="-4"/>
        </w:rPr>
        <w:t xml:space="preserve"> </w:t>
      </w:r>
      <w:r w:rsidR="00A90E33" w:rsidRPr="00DF679D">
        <w:rPr>
          <w:rFonts w:cs="Calibri Light"/>
          <w:iCs/>
          <w:color w:val="000000" w:themeColor="text1"/>
          <w:spacing w:val="-4"/>
        </w:rPr>
        <w:br/>
        <w:t>z wynikiem rozliczenia: należność Funduszu od Banku w kwocie 586</w:t>
      </w:r>
      <w:r w:rsidR="00BE0283">
        <w:rPr>
          <w:rFonts w:cs="Calibri Light"/>
          <w:iCs/>
          <w:color w:val="000000" w:themeColor="text1"/>
          <w:spacing w:val="-4"/>
        </w:rPr>
        <w:t xml:space="preserve"> </w:t>
      </w:r>
      <w:r w:rsidR="00A90E33" w:rsidRPr="00DF679D">
        <w:rPr>
          <w:rFonts w:cs="Calibri Light"/>
          <w:iCs/>
          <w:color w:val="000000" w:themeColor="text1"/>
          <w:spacing w:val="-4"/>
        </w:rPr>
        <w:t>699,00 zł</w:t>
      </w:r>
      <w:r w:rsidR="00730040" w:rsidRPr="00DF679D">
        <w:rPr>
          <w:rFonts w:cs="Calibri Light"/>
          <w:iCs/>
          <w:color w:val="000000" w:themeColor="text1"/>
          <w:spacing w:val="-4"/>
        </w:rPr>
        <w:t>;</w:t>
      </w:r>
    </w:p>
    <w:p w:rsidR="00206C1B" w:rsidRPr="00DF679D" w:rsidRDefault="00206C1B" w:rsidP="008004CF">
      <w:pPr>
        <w:numPr>
          <w:ilvl w:val="0"/>
          <w:numId w:val="9"/>
        </w:numPr>
        <w:spacing w:before="120" w:after="120"/>
        <w:ind w:left="714" w:hanging="357"/>
        <w:rPr>
          <w:rFonts w:cs="Calibri Light"/>
        </w:rPr>
      </w:pPr>
      <w:r w:rsidRPr="00DF679D">
        <w:rPr>
          <w:rFonts w:cs="Calibri Light"/>
          <w:b/>
        </w:rPr>
        <w:t>Bank Millennium S.A.</w:t>
      </w:r>
      <w:r w:rsidRPr="00DF679D">
        <w:rPr>
          <w:rFonts w:cs="Calibri Light"/>
        </w:rPr>
        <w:t xml:space="preserve"> </w:t>
      </w:r>
      <w:r w:rsidRPr="00DF679D">
        <w:rPr>
          <w:rFonts w:cs="Calibri Light"/>
          <w:bCs/>
        </w:rPr>
        <w:t>(wsparcie udzielone w związku z przejęciem SKOK Piast):</w:t>
      </w:r>
    </w:p>
    <w:p w:rsidR="00824D1D" w:rsidRPr="00DF679D" w:rsidRDefault="007530D7" w:rsidP="008004CF">
      <w:pPr>
        <w:numPr>
          <w:ilvl w:val="0"/>
          <w:numId w:val="11"/>
        </w:numPr>
        <w:spacing w:after="0"/>
        <w:ind w:left="1071" w:hanging="357"/>
        <w:contextualSpacing/>
        <w:rPr>
          <w:rFonts w:cs="Calibri Light"/>
          <w:iCs/>
        </w:rPr>
      </w:pPr>
      <w:r w:rsidRPr="00DF679D">
        <w:rPr>
          <w:rFonts w:cs="Calibri Light"/>
          <w:iCs/>
        </w:rPr>
        <w:t>14 lipca</w:t>
      </w:r>
      <w:r w:rsidR="00206C1B" w:rsidRPr="00DF679D">
        <w:rPr>
          <w:rFonts w:cs="Calibri Light"/>
          <w:iCs/>
        </w:rPr>
        <w:t xml:space="preserve"> 2022 r. </w:t>
      </w:r>
      <w:r w:rsidR="00824D1D" w:rsidRPr="00DF679D">
        <w:rPr>
          <w:rFonts w:cs="Calibri Light"/>
          <w:iCs/>
        </w:rPr>
        <w:t>Zarząd Funduszu</w:t>
      </w:r>
      <w:r w:rsidR="00206C1B" w:rsidRPr="00DF679D">
        <w:rPr>
          <w:rFonts w:cs="Calibri Light"/>
          <w:iCs/>
        </w:rPr>
        <w:t xml:space="preserve"> podj</w:t>
      </w:r>
      <w:r w:rsidR="00824D1D" w:rsidRPr="00DF679D">
        <w:rPr>
          <w:rFonts w:cs="Calibri Light"/>
          <w:iCs/>
        </w:rPr>
        <w:t>ął</w:t>
      </w:r>
      <w:r w:rsidR="00206C1B" w:rsidRPr="00DF679D">
        <w:rPr>
          <w:rFonts w:cs="Calibri Light"/>
          <w:iCs/>
        </w:rPr>
        <w:t xml:space="preserve"> decyzj</w:t>
      </w:r>
      <w:r w:rsidR="00824D1D" w:rsidRPr="00DF679D">
        <w:rPr>
          <w:rFonts w:cs="Calibri Light"/>
          <w:iCs/>
        </w:rPr>
        <w:t>e</w:t>
      </w:r>
      <w:r w:rsidR="00206C1B" w:rsidRPr="00DF679D">
        <w:rPr>
          <w:rFonts w:cs="Calibri Light"/>
          <w:iCs/>
        </w:rPr>
        <w:t xml:space="preserve"> w sprawie wniosku Banku o wyrażenie zgody </w:t>
      </w:r>
      <w:r w:rsidR="00824D1D" w:rsidRPr="00DF679D">
        <w:rPr>
          <w:rFonts w:cs="Calibri Light"/>
          <w:iCs/>
        </w:rPr>
        <w:t xml:space="preserve">na spisanie z umorzeniem wytypowanych przez Bank </w:t>
      </w:r>
      <w:r w:rsidR="00A455E4" w:rsidRPr="00DF679D">
        <w:rPr>
          <w:rFonts w:cs="Calibri Light"/>
          <w:iCs/>
        </w:rPr>
        <w:t>ekspozycji kredytowych</w:t>
      </w:r>
      <w:r w:rsidR="00824D1D" w:rsidRPr="00DF679D">
        <w:rPr>
          <w:rFonts w:cs="Calibri Light"/>
          <w:iCs/>
        </w:rPr>
        <w:t xml:space="preserve"> </w:t>
      </w:r>
      <w:r w:rsidR="00B91739" w:rsidRPr="00DF679D">
        <w:rPr>
          <w:rFonts w:cs="Calibri Light"/>
          <w:iCs/>
        </w:rPr>
        <w:br/>
      </w:r>
      <w:r w:rsidR="00824D1D" w:rsidRPr="00DF679D">
        <w:rPr>
          <w:rFonts w:cs="Calibri Light"/>
          <w:iCs/>
        </w:rPr>
        <w:t>w postaci:</w:t>
      </w:r>
    </w:p>
    <w:p w:rsidR="00824D1D" w:rsidRPr="00DF679D" w:rsidRDefault="00824D1D" w:rsidP="008004CF">
      <w:pPr>
        <w:pStyle w:val="Akapitzlist"/>
        <w:numPr>
          <w:ilvl w:val="0"/>
          <w:numId w:val="15"/>
        </w:numPr>
        <w:rPr>
          <w:rFonts w:cs="Calibri Light"/>
          <w:iCs/>
        </w:rPr>
      </w:pPr>
      <w:r w:rsidRPr="00DF679D">
        <w:rPr>
          <w:rFonts w:cs="Calibri Light"/>
          <w:iCs/>
        </w:rPr>
        <w:t xml:space="preserve">zgody na spisanie z umorzeniem i pokryciem strat 102 praw </w:t>
      </w:r>
      <w:r w:rsidR="00A455E4" w:rsidRPr="00DF679D">
        <w:rPr>
          <w:rFonts w:cs="Calibri Light"/>
          <w:iCs/>
        </w:rPr>
        <w:t>majątkowych</w:t>
      </w:r>
      <w:r w:rsidRPr="00DF679D">
        <w:rPr>
          <w:rFonts w:cs="Calibri Light"/>
          <w:iCs/>
        </w:rPr>
        <w:t>,</w:t>
      </w:r>
    </w:p>
    <w:p w:rsidR="00824D1D" w:rsidRPr="00DF679D" w:rsidRDefault="00824D1D" w:rsidP="008004CF">
      <w:pPr>
        <w:pStyle w:val="Akapitzlist"/>
        <w:numPr>
          <w:ilvl w:val="0"/>
          <w:numId w:val="15"/>
        </w:numPr>
        <w:rPr>
          <w:rFonts w:cs="Calibri Light"/>
          <w:iCs/>
        </w:rPr>
      </w:pPr>
      <w:r w:rsidRPr="00DF679D">
        <w:rPr>
          <w:rFonts w:cs="Calibri Light"/>
          <w:iCs/>
        </w:rPr>
        <w:t xml:space="preserve">zgody na spisanie z umorzeniem bez pokrycia strat 16 </w:t>
      </w:r>
      <w:r w:rsidR="00A455E4" w:rsidRPr="00DF679D">
        <w:rPr>
          <w:rFonts w:cs="Calibri Light"/>
          <w:iCs/>
        </w:rPr>
        <w:t>praw majątkowych</w:t>
      </w:r>
      <w:r w:rsidRPr="00DF679D">
        <w:rPr>
          <w:rFonts w:cs="Calibri Light"/>
          <w:iCs/>
        </w:rPr>
        <w:t>,</w:t>
      </w:r>
    </w:p>
    <w:p w:rsidR="00824D1D" w:rsidRPr="00DF679D" w:rsidRDefault="00824D1D" w:rsidP="008004CF">
      <w:pPr>
        <w:pStyle w:val="Akapitzlist"/>
        <w:numPr>
          <w:ilvl w:val="0"/>
          <w:numId w:val="15"/>
        </w:numPr>
        <w:rPr>
          <w:rFonts w:cs="Calibri Light"/>
          <w:iCs/>
        </w:rPr>
      </w:pPr>
      <w:r w:rsidRPr="00DF679D">
        <w:rPr>
          <w:rFonts w:cs="Calibri Light"/>
          <w:iCs/>
        </w:rPr>
        <w:t xml:space="preserve">braku zgody na spisanie z umorzeniem 9 praw </w:t>
      </w:r>
      <w:r w:rsidR="00A455E4" w:rsidRPr="00DF679D">
        <w:rPr>
          <w:rFonts w:cs="Calibri Light"/>
          <w:iCs/>
        </w:rPr>
        <w:t>majątkowych,</w:t>
      </w:r>
    </w:p>
    <w:p w:rsidR="00A455E4" w:rsidRPr="00DF679D" w:rsidRDefault="00A455E4" w:rsidP="008004CF">
      <w:pPr>
        <w:pStyle w:val="Akapitzlist"/>
        <w:numPr>
          <w:ilvl w:val="0"/>
          <w:numId w:val="15"/>
        </w:numPr>
        <w:spacing w:after="120"/>
        <w:ind w:left="1434" w:hanging="357"/>
        <w:rPr>
          <w:rFonts w:cs="Calibri Light"/>
          <w:iCs/>
        </w:rPr>
      </w:pPr>
      <w:r w:rsidRPr="00DF679D">
        <w:rPr>
          <w:rFonts w:cs="Calibri Light"/>
          <w:iCs/>
        </w:rPr>
        <w:t xml:space="preserve">wstrzymania się od podejmowania decyzji w przypadku 55 praw majątkowych do czasu przekazania stosownych uzupełnień; </w:t>
      </w:r>
    </w:p>
    <w:p w:rsidR="00206C1B" w:rsidRPr="00DF679D" w:rsidRDefault="00206C1B" w:rsidP="008004CF">
      <w:pPr>
        <w:numPr>
          <w:ilvl w:val="0"/>
          <w:numId w:val="14"/>
        </w:numPr>
        <w:spacing w:after="120"/>
        <w:ind w:left="714" w:hanging="357"/>
        <w:rPr>
          <w:rFonts w:cs="Calibri Light"/>
          <w:iCs/>
        </w:rPr>
      </w:pPr>
      <w:r w:rsidRPr="00DF679D">
        <w:rPr>
          <w:rFonts w:cs="Calibri Light"/>
          <w:b/>
          <w:iCs/>
        </w:rPr>
        <w:t>Bank Pekao S.A.</w:t>
      </w:r>
      <w:r w:rsidRPr="00DF679D">
        <w:rPr>
          <w:rFonts w:cs="Calibri Light"/>
          <w:iCs/>
        </w:rPr>
        <w:t xml:space="preserve"> (wsparcie w procesie przymusowej restrukturyzacji Idea Banku S.A.)</w:t>
      </w:r>
    </w:p>
    <w:p w:rsidR="0069364E" w:rsidRPr="00DF679D" w:rsidRDefault="0069364E" w:rsidP="008004CF">
      <w:pPr>
        <w:numPr>
          <w:ilvl w:val="0"/>
          <w:numId w:val="13"/>
        </w:numPr>
        <w:spacing w:after="0"/>
        <w:ind w:left="1071" w:hanging="357"/>
        <w:rPr>
          <w:rFonts w:cs="Calibri Light"/>
          <w:iCs/>
          <w:color w:val="000000" w:themeColor="text1"/>
        </w:rPr>
      </w:pPr>
      <w:r w:rsidRPr="00DF679D">
        <w:rPr>
          <w:rFonts w:cs="Calibri Light"/>
          <w:iCs/>
          <w:color w:val="000000" w:themeColor="text1"/>
        </w:rPr>
        <w:t>14 lipca 2022 r. Dyrektor DMW podj</w:t>
      </w:r>
      <w:r w:rsidR="00F57392" w:rsidRPr="00DF679D">
        <w:rPr>
          <w:rFonts w:cs="Calibri Light"/>
          <w:iCs/>
          <w:color w:val="000000" w:themeColor="text1"/>
        </w:rPr>
        <w:t>ęła</w:t>
      </w:r>
      <w:r w:rsidRPr="00DF679D">
        <w:rPr>
          <w:rFonts w:cs="Calibri Light"/>
          <w:iCs/>
          <w:color w:val="000000" w:themeColor="text1"/>
        </w:rPr>
        <w:t xml:space="preserve"> decyzję w sprawie </w:t>
      </w:r>
      <w:r w:rsidRPr="00DF679D">
        <w:rPr>
          <w:rFonts w:cs="Calibri Light"/>
        </w:rPr>
        <w:t>wyrażenie zgody na rozpoczęcie procesu sprzedaży praw majątkowych poprzez akceptację kryterium doboru praw majątkowych oraz kosztów sprzedaży;</w:t>
      </w:r>
    </w:p>
    <w:p w:rsidR="0069364E" w:rsidRPr="00DF679D" w:rsidRDefault="0069364E" w:rsidP="008004CF">
      <w:pPr>
        <w:numPr>
          <w:ilvl w:val="0"/>
          <w:numId w:val="13"/>
        </w:numPr>
        <w:spacing w:after="0"/>
        <w:ind w:left="1071" w:hanging="357"/>
        <w:rPr>
          <w:rFonts w:cs="Calibri Light"/>
          <w:iCs/>
          <w:color w:val="000000" w:themeColor="text1"/>
        </w:rPr>
      </w:pPr>
      <w:r w:rsidRPr="00DF679D">
        <w:rPr>
          <w:rFonts w:cs="Calibri Light"/>
        </w:rPr>
        <w:t xml:space="preserve">28 lipca 2022 r. Zarząd Funduszu </w:t>
      </w:r>
      <w:r w:rsidRPr="00DF679D">
        <w:rPr>
          <w:rFonts w:cs="Calibri Light"/>
          <w:iCs/>
        </w:rPr>
        <w:t>zaakceptował - przed rozpoczęciem procesu sprzedaży w trybie przetargu - kryteria doboru praw majątkowych przeznaczonych do sprzedaży oraz przewidywanych kosztów sprzedaży praw majątkowych niezabezpieczonych rzeczowo przejętych z Idea Banku</w:t>
      </w:r>
      <w:r w:rsidRPr="00DF679D">
        <w:rPr>
          <w:rFonts w:cs="Calibri Light"/>
          <w:iCs/>
          <w:sz w:val="22"/>
          <w:szCs w:val="22"/>
        </w:rPr>
        <w:t>;</w:t>
      </w:r>
    </w:p>
    <w:p w:rsidR="0069364E" w:rsidRPr="00DF679D" w:rsidRDefault="0069364E" w:rsidP="008004CF">
      <w:pPr>
        <w:numPr>
          <w:ilvl w:val="0"/>
          <w:numId w:val="13"/>
        </w:numPr>
        <w:spacing w:after="0"/>
        <w:ind w:left="1071" w:hanging="357"/>
        <w:rPr>
          <w:rFonts w:cs="Calibri Light"/>
          <w:iCs/>
          <w:color w:val="000000" w:themeColor="text1"/>
        </w:rPr>
      </w:pPr>
      <w:r w:rsidRPr="00DF679D">
        <w:rPr>
          <w:rFonts w:cs="Calibri Light"/>
        </w:rPr>
        <w:t xml:space="preserve">4 sierpnia 2022 r. Zarząd Funduszu </w:t>
      </w:r>
      <w:r w:rsidR="002B0FEC" w:rsidRPr="00DF679D">
        <w:rPr>
          <w:rFonts w:cs="Calibri Light"/>
        </w:rPr>
        <w:t xml:space="preserve">wyraził zgodę na warunki finansowe dotyczące sprzedaży wybranych składników majątku przejętych od Idea Bank </w:t>
      </w:r>
      <w:r w:rsidR="00F57392" w:rsidRPr="00DF679D">
        <w:rPr>
          <w:rFonts w:cs="Calibri Light"/>
        </w:rPr>
        <w:t xml:space="preserve">S.A. </w:t>
      </w:r>
      <w:r w:rsidR="004176E9">
        <w:rPr>
          <w:rFonts w:cs="Calibri Light"/>
        </w:rPr>
        <w:t>(36 </w:t>
      </w:r>
      <w:r w:rsidR="002B0FEC" w:rsidRPr="00DF679D">
        <w:rPr>
          <w:rFonts w:cs="Calibri Light"/>
        </w:rPr>
        <w:t>samochodów);</w:t>
      </w:r>
    </w:p>
    <w:p w:rsidR="007C712A" w:rsidRPr="00DF679D" w:rsidRDefault="008A5AB8" w:rsidP="008004CF">
      <w:pPr>
        <w:numPr>
          <w:ilvl w:val="0"/>
          <w:numId w:val="13"/>
        </w:numPr>
        <w:spacing w:after="120"/>
        <w:ind w:left="1071" w:hanging="357"/>
        <w:rPr>
          <w:rFonts w:cs="Calibri Light"/>
          <w:iCs/>
          <w:color w:val="000000" w:themeColor="text1"/>
        </w:rPr>
      </w:pPr>
      <w:r w:rsidRPr="00DF679D">
        <w:rPr>
          <w:rFonts w:cs="Calibri Light"/>
        </w:rPr>
        <w:t>16 sierpnia 2022 r. Zarząd Funduszu przyjął</w:t>
      </w:r>
      <w:r w:rsidR="007C712A" w:rsidRPr="00DF679D">
        <w:rPr>
          <w:rFonts w:cs="Calibri Light"/>
        </w:rPr>
        <w:t xml:space="preserve"> Raport CRM w części dotyczącej jednego prawa majątkowego za drugi okres rozliczeniowy</w:t>
      </w:r>
      <w:r w:rsidR="00443EC1" w:rsidRPr="00DF679D">
        <w:rPr>
          <w:rFonts w:cs="Calibri Light"/>
        </w:rPr>
        <w:t>.</w:t>
      </w:r>
    </w:p>
    <w:p w:rsidR="00206C1B" w:rsidRPr="00D50AEF" w:rsidRDefault="00206C1B"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 xml:space="preserve">Kontrole w bankach korzystających ze wsparcia BFG </w:t>
      </w:r>
    </w:p>
    <w:p w:rsidR="00395081" w:rsidRPr="00DF679D" w:rsidRDefault="00395081" w:rsidP="00DF679D">
      <w:pPr>
        <w:spacing w:before="120" w:after="120" w:line="276" w:lineRule="auto"/>
        <w:rPr>
          <w:rFonts w:cs="Calibri Light"/>
          <w:color w:val="000000" w:themeColor="text1"/>
        </w:rPr>
      </w:pPr>
      <w:r w:rsidRPr="00DF679D">
        <w:rPr>
          <w:rFonts w:cs="Calibri Light"/>
          <w:color w:val="000000" w:themeColor="text1"/>
        </w:rPr>
        <w:t xml:space="preserve">16 sierpnia 2022 r. Zarząd Funduszu przyjął sprawozdanie z kontroli przeprowadzonej </w:t>
      </w:r>
      <w:r w:rsidR="00DF679D">
        <w:rPr>
          <w:rFonts w:cs="Calibri Light"/>
          <w:color w:val="000000" w:themeColor="text1"/>
        </w:rPr>
        <w:t>w II </w:t>
      </w:r>
      <w:r w:rsidR="000363B0" w:rsidRPr="00DF679D">
        <w:rPr>
          <w:rFonts w:cs="Calibri Light"/>
          <w:color w:val="000000" w:themeColor="text1"/>
        </w:rPr>
        <w:t xml:space="preserve">kwartale br. </w:t>
      </w:r>
      <w:r w:rsidRPr="00DF679D">
        <w:rPr>
          <w:rFonts w:cs="Calibri Light"/>
          <w:color w:val="000000" w:themeColor="text1"/>
        </w:rPr>
        <w:t>w trybie hybrydowym w Banku Pekao S.A.</w:t>
      </w:r>
      <w:r w:rsidR="000363B0" w:rsidRPr="00DF679D">
        <w:rPr>
          <w:rFonts w:cs="Calibri Light"/>
          <w:color w:val="000000" w:themeColor="text1"/>
        </w:rPr>
        <w:t xml:space="preserve"> w z</w:t>
      </w:r>
      <w:r w:rsidR="00DF679D">
        <w:rPr>
          <w:rFonts w:cs="Calibri Light"/>
          <w:color w:val="000000" w:themeColor="text1"/>
        </w:rPr>
        <w:t>wiązku z udzielonym wsparciem w </w:t>
      </w:r>
      <w:r w:rsidR="000363B0" w:rsidRPr="00DF679D">
        <w:rPr>
          <w:rFonts w:cs="Calibri Light"/>
          <w:color w:val="000000" w:themeColor="text1"/>
        </w:rPr>
        <w:t>procesie przymusowej restrukturyzacji Idea Banku S.A.</w:t>
      </w:r>
    </w:p>
    <w:p w:rsidR="00206C1B" w:rsidRPr="00DF679D" w:rsidRDefault="00206C1B" w:rsidP="00DF679D">
      <w:pPr>
        <w:spacing w:after="0" w:line="276" w:lineRule="auto"/>
        <w:rPr>
          <w:rFonts w:cs="Calibri Light"/>
          <w:color w:val="000000" w:themeColor="text1"/>
          <w:highlight w:val="yellow"/>
        </w:rPr>
      </w:pPr>
      <w:r w:rsidRPr="00DF679D">
        <w:rPr>
          <w:rFonts w:cs="Calibri Light"/>
          <w:color w:val="000000" w:themeColor="text1"/>
        </w:rPr>
        <w:t xml:space="preserve">Zgodnie z </w:t>
      </w:r>
      <w:r w:rsidRPr="00DF679D">
        <w:rPr>
          <w:rFonts w:cs="Calibri Light"/>
          <w:i/>
          <w:color w:val="000000" w:themeColor="text1"/>
        </w:rPr>
        <w:t>Planem kontroli na 2022 r.</w:t>
      </w:r>
      <w:r w:rsidRPr="00DF679D">
        <w:rPr>
          <w:rFonts w:cs="Calibri Light"/>
          <w:color w:val="000000" w:themeColor="text1"/>
        </w:rPr>
        <w:t xml:space="preserve"> w okresie sprawozdawczym przeprowadzono </w:t>
      </w:r>
      <w:r w:rsidR="00DF679D">
        <w:rPr>
          <w:rFonts w:cs="Calibri Light"/>
          <w:color w:val="000000" w:themeColor="text1"/>
        </w:rPr>
        <w:t>jedną</w:t>
      </w:r>
      <w:r w:rsidRPr="00DF679D">
        <w:rPr>
          <w:rFonts w:cs="Calibri Light"/>
          <w:color w:val="000000" w:themeColor="text1"/>
        </w:rPr>
        <w:t xml:space="preserve"> kontrol</w:t>
      </w:r>
      <w:r w:rsidR="0010305B" w:rsidRPr="00DF679D">
        <w:rPr>
          <w:rFonts w:cs="Calibri Light"/>
          <w:color w:val="000000" w:themeColor="text1"/>
        </w:rPr>
        <w:t>ę pods</w:t>
      </w:r>
      <w:r w:rsidRPr="00DF679D">
        <w:rPr>
          <w:rFonts w:cs="Calibri Light"/>
          <w:color w:val="000000" w:themeColor="text1"/>
        </w:rPr>
        <w:t>umowującą rozliczenie umowy GPS zawartej z</w:t>
      </w:r>
      <w:r w:rsidR="00DF679D">
        <w:rPr>
          <w:rFonts w:cs="Calibri Light"/>
          <w:color w:val="000000" w:themeColor="text1"/>
        </w:rPr>
        <w:t>e</w:t>
      </w:r>
      <w:r w:rsidRPr="00DF679D">
        <w:rPr>
          <w:rFonts w:cs="Calibri Light"/>
          <w:color w:val="000000" w:themeColor="text1"/>
        </w:rPr>
        <w:t xml:space="preserve"> </w:t>
      </w:r>
      <w:r w:rsidR="0010305B" w:rsidRPr="00DF679D">
        <w:rPr>
          <w:rFonts w:cs="Calibri Light"/>
          <w:color w:val="000000" w:themeColor="text1"/>
        </w:rPr>
        <w:t>Ś</w:t>
      </w:r>
      <w:r w:rsidR="00DF679D">
        <w:rPr>
          <w:rFonts w:cs="Calibri Light"/>
          <w:color w:val="000000" w:themeColor="text1"/>
        </w:rPr>
        <w:t xml:space="preserve">ląskim </w:t>
      </w:r>
      <w:r w:rsidRPr="00DF679D">
        <w:rPr>
          <w:rFonts w:cs="Calibri Light"/>
          <w:color w:val="000000" w:themeColor="text1"/>
        </w:rPr>
        <w:t xml:space="preserve">BS </w:t>
      </w:r>
      <w:r w:rsidR="0010305B" w:rsidRPr="00DF679D">
        <w:rPr>
          <w:rFonts w:cs="Calibri Light"/>
          <w:color w:val="000000" w:themeColor="text1"/>
        </w:rPr>
        <w:t xml:space="preserve">„Silesia” </w:t>
      </w:r>
      <w:r w:rsidRPr="00DF679D">
        <w:rPr>
          <w:rFonts w:cs="Calibri Light"/>
          <w:color w:val="000000" w:themeColor="text1"/>
        </w:rPr>
        <w:t xml:space="preserve">w </w:t>
      </w:r>
      <w:r w:rsidR="0010305B" w:rsidRPr="00DF679D">
        <w:rPr>
          <w:rFonts w:cs="Calibri Light"/>
          <w:color w:val="000000" w:themeColor="text1"/>
        </w:rPr>
        <w:t>Katowicach</w:t>
      </w:r>
      <w:r w:rsidRPr="00DF679D">
        <w:rPr>
          <w:rFonts w:cs="Calibri Light"/>
          <w:color w:val="000000" w:themeColor="text1"/>
        </w:rPr>
        <w:t>, dla której termin ostatniego rozliczenia upłynął 3</w:t>
      </w:r>
      <w:r w:rsidR="0010305B" w:rsidRPr="00DF679D">
        <w:rPr>
          <w:rFonts w:cs="Calibri Light"/>
          <w:color w:val="000000" w:themeColor="text1"/>
        </w:rPr>
        <w:t>0</w:t>
      </w:r>
      <w:r w:rsidRPr="00DF679D">
        <w:rPr>
          <w:rFonts w:cs="Calibri Light"/>
          <w:color w:val="000000" w:themeColor="text1"/>
        </w:rPr>
        <w:t xml:space="preserve"> </w:t>
      </w:r>
      <w:r w:rsidR="0010305B" w:rsidRPr="00DF679D">
        <w:rPr>
          <w:rFonts w:cs="Calibri Light"/>
          <w:color w:val="000000" w:themeColor="text1"/>
        </w:rPr>
        <w:t>listopada</w:t>
      </w:r>
      <w:r w:rsidRPr="00DF679D">
        <w:rPr>
          <w:rFonts w:cs="Calibri Light"/>
          <w:color w:val="000000" w:themeColor="text1"/>
        </w:rPr>
        <w:t xml:space="preserve"> 2021 r.</w:t>
      </w:r>
      <w:r w:rsidRPr="00DF679D">
        <w:rPr>
          <w:rFonts w:cs="Calibri Light"/>
        </w:rPr>
        <w:t xml:space="preserve"> </w:t>
      </w:r>
      <w:r w:rsidRPr="00DF679D">
        <w:rPr>
          <w:rFonts w:cs="Calibri Light"/>
          <w:color w:val="000000" w:themeColor="text1"/>
        </w:rPr>
        <w:t xml:space="preserve">Sprawozdanie z kontroli zostało </w:t>
      </w:r>
      <w:r w:rsidR="00A90E33" w:rsidRPr="00DF679D">
        <w:rPr>
          <w:rFonts w:cs="Calibri Light"/>
          <w:color w:val="000000" w:themeColor="text1"/>
        </w:rPr>
        <w:t>skierowane na posiedzenie Zarządu, które odbędzie się na początku IV kw</w:t>
      </w:r>
      <w:r w:rsidR="00DF679D">
        <w:rPr>
          <w:rFonts w:cs="Calibri Light"/>
          <w:color w:val="000000" w:themeColor="text1"/>
        </w:rPr>
        <w:t>artału</w:t>
      </w:r>
      <w:r w:rsidR="00A90E33" w:rsidRPr="00DF679D">
        <w:rPr>
          <w:rFonts w:cs="Calibri Light"/>
          <w:color w:val="000000" w:themeColor="text1"/>
        </w:rPr>
        <w:t xml:space="preserve"> 2022 r.</w:t>
      </w:r>
    </w:p>
    <w:p w:rsidR="00A0295A" w:rsidRDefault="00A0295A" w:rsidP="00567D67">
      <w:pPr>
        <w:pStyle w:val="Nagwek2"/>
        <w:numPr>
          <w:ilvl w:val="0"/>
          <w:numId w:val="1"/>
        </w:numPr>
        <w:spacing w:before="240"/>
        <w:ind w:left="425" w:hanging="425"/>
        <w:rPr>
          <w:rFonts w:cs="Calibri Light"/>
        </w:rPr>
      </w:pPr>
      <w:bookmarkStart w:id="59" w:name="_Toc116304522"/>
      <w:r w:rsidRPr="00DF679D">
        <w:rPr>
          <w:rFonts w:cs="Calibri Light"/>
        </w:rPr>
        <w:t>Restrukturyzacja firm ubezpieczeniowych</w:t>
      </w:r>
      <w:bookmarkEnd w:id="59"/>
    </w:p>
    <w:p w:rsidR="000560ED" w:rsidRPr="000F33C1" w:rsidRDefault="000560ED" w:rsidP="000560ED">
      <w:pPr>
        <w:spacing w:after="120"/>
        <w:rPr>
          <w:rFonts w:cs="Calibri Light"/>
        </w:rPr>
      </w:pPr>
      <w:r w:rsidRPr="000F33C1">
        <w:rPr>
          <w:rFonts w:cs="Calibri Light"/>
        </w:rPr>
        <w:t>W II</w:t>
      </w:r>
      <w:r>
        <w:rPr>
          <w:rFonts w:cs="Calibri Light"/>
        </w:rPr>
        <w:t>I</w:t>
      </w:r>
      <w:r w:rsidRPr="000F33C1">
        <w:rPr>
          <w:rFonts w:cs="Calibri Light"/>
        </w:rPr>
        <w:t xml:space="preserve"> kwartale 2022 r. BFG w zakresie prac dotyczących projektu </w:t>
      </w:r>
      <w:r w:rsidRPr="000F33C1">
        <w:rPr>
          <w:rFonts w:cs="Calibri Light"/>
          <w:i/>
        </w:rPr>
        <w:t>Dyrektywy Parlamentu Europejskiego i Rady ustanawiającej ramy na potrzeby prowadzenia działań naprawczych oraz restrukturyzacji i uporządkowanej likwidacji w odniesieniu do zakładów ubezpieczeń i zakładów reasekuracji oraz zmieniającej dyrektywy 2002/47/WE, 2004/25/WE, 2009/138/WE, (UE)2017/1132 i rozporządzenia (UE) nr 1094/2010 i (UE) nr 648/2012</w:t>
      </w:r>
      <w:r w:rsidRPr="000F33C1">
        <w:rPr>
          <w:rFonts w:cs="Calibri Light"/>
        </w:rPr>
        <w:t xml:space="preserve"> (IRRD) prowadził następujące działania:</w:t>
      </w:r>
    </w:p>
    <w:p w:rsidR="000560ED" w:rsidRDefault="000560ED" w:rsidP="008004CF">
      <w:pPr>
        <w:pStyle w:val="Akapitzlist"/>
        <w:numPr>
          <w:ilvl w:val="0"/>
          <w:numId w:val="23"/>
        </w:numPr>
        <w:spacing w:after="120"/>
        <w:ind w:left="714" w:hanging="357"/>
        <w:contextualSpacing w:val="0"/>
        <w:rPr>
          <w:rFonts w:cs="Calibri Light"/>
        </w:rPr>
      </w:pPr>
      <w:r w:rsidRPr="000F33C1">
        <w:rPr>
          <w:rFonts w:cs="Calibri Light"/>
        </w:rPr>
        <w:t>w obszarze prawno-regulacyjnym:</w:t>
      </w:r>
    </w:p>
    <w:p w:rsidR="000560ED" w:rsidRPr="004176E9" w:rsidRDefault="000560ED" w:rsidP="008004CF">
      <w:pPr>
        <w:numPr>
          <w:ilvl w:val="0"/>
          <w:numId w:val="13"/>
        </w:numPr>
        <w:spacing w:after="0"/>
        <w:ind w:left="1071" w:hanging="357"/>
        <w:rPr>
          <w:rFonts w:cs="Calibri Light"/>
          <w:iCs/>
        </w:rPr>
      </w:pPr>
      <w:r w:rsidRPr="009F5208">
        <w:rPr>
          <w:rFonts w:cs="Calibri Light"/>
        </w:rPr>
        <w:t xml:space="preserve">opiniowanie i zgłaszanie propozycji zmiany brzmienia przepisów IRRD w celu odzwierciedlenia specyfiki polskiego sektora ubezpieczeniowego (przekazano wkłady do </w:t>
      </w:r>
      <w:r w:rsidRPr="004176E9">
        <w:rPr>
          <w:rFonts w:cs="Calibri Light"/>
          <w:iCs/>
        </w:rPr>
        <w:t>materiałów na 3 posiedzenia)</w:t>
      </w:r>
      <w:r w:rsidR="00567D67" w:rsidRPr="004176E9">
        <w:rPr>
          <w:rFonts w:cs="Calibri Light"/>
          <w:iCs/>
        </w:rPr>
        <w:t>,</w:t>
      </w:r>
    </w:p>
    <w:p w:rsidR="000560ED" w:rsidRPr="007739E7" w:rsidRDefault="000560ED" w:rsidP="008004CF">
      <w:pPr>
        <w:numPr>
          <w:ilvl w:val="0"/>
          <w:numId w:val="13"/>
        </w:numPr>
        <w:spacing w:after="0"/>
        <w:ind w:left="1071" w:hanging="357"/>
        <w:rPr>
          <w:rFonts w:cs="Calibri Light"/>
        </w:rPr>
      </w:pPr>
      <w:r w:rsidRPr="004176E9">
        <w:rPr>
          <w:rFonts w:cs="Calibri Light"/>
          <w:iCs/>
        </w:rPr>
        <w:t>analizowanie propozycji brzmienia dyrektywy ustanawiającej ramy wyprzedzających planów naprawczych oraz restrukturyzacji i uporządkowanej likwidacji w UE</w:t>
      </w:r>
      <w:r w:rsidRPr="009F5208">
        <w:rPr>
          <w:rFonts w:cs="Calibri Light"/>
        </w:rPr>
        <w:t xml:space="preserve"> w zakresie możliwości i zasadności wdrożenia w Polsce</w:t>
      </w:r>
      <w:r w:rsidR="00567D67">
        <w:rPr>
          <w:rFonts w:cs="Calibri Light"/>
        </w:rPr>
        <w:t>,</w:t>
      </w:r>
    </w:p>
    <w:p w:rsidR="000560ED" w:rsidRPr="009F5208" w:rsidRDefault="000560ED" w:rsidP="008004CF">
      <w:pPr>
        <w:numPr>
          <w:ilvl w:val="0"/>
          <w:numId w:val="13"/>
        </w:numPr>
        <w:spacing w:after="120"/>
        <w:ind w:left="1071" w:hanging="357"/>
        <w:rPr>
          <w:rFonts w:cs="Calibri Light"/>
        </w:rPr>
      </w:pPr>
      <w:r w:rsidRPr="004176E9">
        <w:rPr>
          <w:rFonts w:cs="Calibri Light"/>
          <w:iCs/>
        </w:rPr>
        <w:t>przygotowywanie</w:t>
      </w:r>
      <w:r w:rsidRPr="009F5208">
        <w:rPr>
          <w:rFonts w:cs="Calibri Light"/>
        </w:rPr>
        <w:t xml:space="preserve"> opracowań na potrzeby Ministerstwa Finansów do wykorzystania w pracach nad IRRD w Radzie UE;</w:t>
      </w:r>
    </w:p>
    <w:p w:rsidR="000560ED" w:rsidRDefault="000560ED" w:rsidP="008004CF">
      <w:pPr>
        <w:pStyle w:val="Akapitzlist"/>
        <w:numPr>
          <w:ilvl w:val="0"/>
          <w:numId w:val="23"/>
        </w:numPr>
        <w:spacing w:after="120"/>
        <w:ind w:left="357" w:firstLine="0"/>
        <w:jc w:val="left"/>
        <w:rPr>
          <w:rFonts w:cs="Calibri Light"/>
        </w:rPr>
      </w:pPr>
      <w:r>
        <w:rPr>
          <w:rFonts w:cs="Calibri Light"/>
        </w:rPr>
        <w:t>w obszarze analitycznym:</w:t>
      </w:r>
    </w:p>
    <w:p w:rsidR="000560ED" w:rsidRDefault="000560ED" w:rsidP="008004CF">
      <w:pPr>
        <w:numPr>
          <w:ilvl w:val="0"/>
          <w:numId w:val="13"/>
        </w:numPr>
        <w:spacing w:after="0"/>
        <w:ind w:left="1071" w:hanging="357"/>
        <w:rPr>
          <w:rFonts w:cs="Calibri Light"/>
        </w:rPr>
      </w:pPr>
      <w:r>
        <w:rPr>
          <w:rFonts w:cs="Calibri Light"/>
        </w:rPr>
        <w:t>analiza systemu resolution dla sektora bankowego w Polsce w celu ewentualnego dostosowania rozwiązań do potrzeb systemu ubezpieczeniowego</w:t>
      </w:r>
      <w:r w:rsidR="00567D67">
        <w:rPr>
          <w:rFonts w:cs="Calibri Light"/>
        </w:rPr>
        <w:t>,</w:t>
      </w:r>
    </w:p>
    <w:p w:rsidR="000560ED" w:rsidRDefault="000560ED" w:rsidP="008004CF">
      <w:pPr>
        <w:numPr>
          <w:ilvl w:val="0"/>
          <w:numId w:val="13"/>
        </w:numPr>
        <w:spacing w:after="0"/>
        <w:ind w:left="1071" w:hanging="357"/>
        <w:rPr>
          <w:rFonts w:cs="Calibri Light"/>
        </w:rPr>
      </w:pPr>
      <w:r>
        <w:rPr>
          <w:rFonts w:cs="Calibri Light"/>
        </w:rPr>
        <w:t>analiza działalności zakładów ubezpieczeń w Polsce pod kątem wykonywania tzw. funkcji krytycznych, kluczowych przy tworzeniu systemu resolution dla rynku ubezpieczeniowego</w:t>
      </w:r>
      <w:r w:rsidR="00567D67">
        <w:rPr>
          <w:rFonts w:cs="Calibri Light"/>
        </w:rPr>
        <w:t>,</w:t>
      </w:r>
    </w:p>
    <w:p w:rsidR="000560ED" w:rsidRPr="00321C80" w:rsidRDefault="000560ED" w:rsidP="008004CF">
      <w:pPr>
        <w:numPr>
          <w:ilvl w:val="0"/>
          <w:numId w:val="13"/>
        </w:numPr>
        <w:spacing w:after="0"/>
        <w:ind w:left="1071" w:hanging="357"/>
        <w:rPr>
          <w:rFonts w:cs="Calibri Light"/>
        </w:rPr>
      </w:pPr>
      <w:r w:rsidRPr="00321C80">
        <w:rPr>
          <w:rFonts w:cs="Calibri Light"/>
        </w:rPr>
        <w:t>prace koncepcyjne nad stworzeniem SWO – systemu wczesnego ostrzegania dla zakładów ubezpieczeń</w:t>
      </w:r>
      <w:r>
        <w:rPr>
          <w:rFonts w:cs="Calibri Light"/>
        </w:rPr>
        <w:t>:</w:t>
      </w:r>
      <w:r w:rsidRPr="00321C80">
        <w:rPr>
          <w:rFonts w:cs="Calibri Light"/>
        </w:rPr>
        <w:t xml:space="preserve"> analiza wyników finansowych zakładów</w:t>
      </w:r>
      <w:r>
        <w:rPr>
          <w:rFonts w:cs="Calibri Light"/>
        </w:rPr>
        <w:t>;</w:t>
      </w:r>
      <w:r w:rsidRPr="00321C80">
        <w:rPr>
          <w:rFonts w:cs="Calibri Light"/>
        </w:rPr>
        <w:t xml:space="preserve"> ubezpieczeń </w:t>
      </w:r>
      <w:r>
        <w:rPr>
          <w:rFonts w:cs="Calibri Light"/>
        </w:rPr>
        <w:t xml:space="preserve">za II kw. 2022 r. </w:t>
      </w:r>
      <w:r w:rsidRPr="00321C80">
        <w:rPr>
          <w:rFonts w:cs="Calibri Light"/>
        </w:rPr>
        <w:t>pod kątem tworzenia ram resolution dla zakładów ubezpieczeń</w:t>
      </w:r>
      <w:r>
        <w:rPr>
          <w:rFonts w:cs="Calibri Light"/>
        </w:rPr>
        <w:t xml:space="preserve"> (wyniki finansowe ubezpieczycieli są dostępne z 3-miesięcznym opóźnieniem)</w:t>
      </w:r>
      <w:r w:rsidR="00567D67">
        <w:rPr>
          <w:rFonts w:cs="Calibri Light"/>
        </w:rPr>
        <w:t>,</w:t>
      </w:r>
    </w:p>
    <w:p w:rsidR="000560ED" w:rsidRDefault="000560ED" w:rsidP="008004CF">
      <w:pPr>
        <w:numPr>
          <w:ilvl w:val="0"/>
          <w:numId w:val="13"/>
        </w:numPr>
        <w:spacing w:after="0"/>
        <w:ind w:left="1071" w:hanging="357"/>
        <w:rPr>
          <w:rFonts w:cs="Calibri Light"/>
        </w:rPr>
      </w:pPr>
      <w:r>
        <w:rPr>
          <w:rFonts w:cs="Calibri Light"/>
        </w:rPr>
        <w:t>monitorowanie sytuacji finansowej zakładów ubezpieczeń powiązanych; wewnątrz grup finansowych z bankami, będącymi przedmiotem resolution</w:t>
      </w:r>
      <w:r w:rsidR="00567D67">
        <w:rPr>
          <w:rFonts w:cs="Calibri Light"/>
        </w:rPr>
        <w:t>,</w:t>
      </w:r>
    </w:p>
    <w:p w:rsidR="000560ED" w:rsidRPr="007739E7" w:rsidRDefault="000560ED" w:rsidP="008004CF">
      <w:pPr>
        <w:numPr>
          <w:ilvl w:val="0"/>
          <w:numId w:val="13"/>
        </w:numPr>
        <w:spacing w:after="120"/>
        <w:ind w:left="1071" w:hanging="357"/>
        <w:rPr>
          <w:rFonts w:cs="Calibri Light"/>
        </w:rPr>
      </w:pPr>
      <w:r>
        <w:rPr>
          <w:rFonts w:cs="Calibri Light"/>
        </w:rPr>
        <w:t>analiza rozwiązań resolution, funkcjonujących na rynkach ubezpieczeniowych we Francji, Rumunii i Holandii pod kątem funkcji kluczowych i finansowania;</w:t>
      </w:r>
    </w:p>
    <w:p w:rsidR="000560ED" w:rsidRDefault="000560ED" w:rsidP="008004CF">
      <w:pPr>
        <w:pStyle w:val="Akapitzlist"/>
        <w:numPr>
          <w:ilvl w:val="0"/>
          <w:numId w:val="23"/>
        </w:numPr>
        <w:spacing w:after="120"/>
        <w:ind w:left="714" w:hanging="357"/>
        <w:contextualSpacing w:val="0"/>
        <w:rPr>
          <w:rFonts w:cs="Calibri Light"/>
        </w:rPr>
      </w:pPr>
      <w:r w:rsidRPr="000F33C1">
        <w:rPr>
          <w:rFonts w:cs="Calibri Light"/>
        </w:rPr>
        <w:t>w obszarze operacyjnym:</w:t>
      </w:r>
    </w:p>
    <w:p w:rsidR="000560ED" w:rsidRDefault="000560ED" w:rsidP="008004CF">
      <w:pPr>
        <w:numPr>
          <w:ilvl w:val="0"/>
          <w:numId w:val="13"/>
        </w:numPr>
        <w:spacing w:after="0"/>
        <w:ind w:left="1071" w:hanging="357"/>
        <w:rPr>
          <w:rFonts w:cs="Calibri Light"/>
        </w:rPr>
      </w:pPr>
      <w:r w:rsidRPr="00BF4122">
        <w:rPr>
          <w:rFonts w:cs="Calibri Light"/>
        </w:rPr>
        <w:t>współpraca z instytucjami krajowymi m.in. Ministerstwem Finansów, Komisją Nadzoru Finansowego, Ubezpieczeniowym Funduszem Gwarancyjnym (UFG)</w:t>
      </w:r>
      <w:r w:rsidR="00567D67">
        <w:rPr>
          <w:rFonts w:cs="Calibri Light"/>
        </w:rPr>
        <w:t>,</w:t>
      </w:r>
    </w:p>
    <w:p w:rsidR="000560ED" w:rsidRDefault="000560ED" w:rsidP="008004CF">
      <w:pPr>
        <w:numPr>
          <w:ilvl w:val="0"/>
          <w:numId w:val="13"/>
        </w:numPr>
        <w:spacing w:after="0"/>
        <w:ind w:left="1071" w:hanging="357"/>
        <w:rPr>
          <w:rFonts w:cs="Calibri Light"/>
        </w:rPr>
      </w:pPr>
      <w:r w:rsidRPr="00BF4122">
        <w:rPr>
          <w:rFonts w:cs="Calibri Light"/>
        </w:rPr>
        <w:t>współpraca ze Stałym Przedstawicielstwem Rzeczypospolitej Polskiej w Brukseli oraz prowadzenie bieżącej współpracy w zakresie budowania strategii negocjacyjnych, w tym przekazywanie materiałów, argumentacji oraz dzielenie się wiedzą na temat stanowisk innych krajów</w:t>
      </w:r>
      <w:r w:rsidR="00567D67">
        <w:rPr>
          <w:rFonts w:cs="Calibri Light"/>
        </w:rPr>
        <w:t>,</w:t>
      </w:r>
    </w:p>
    <w:p w:rsidR="000560ED" w:rsidRDefault="000560ED" w:rsidP="008004CF">
      <w:pPr>
        <w:numPr>
          <w:ilvl w:val="0"/>
          <w:numId w:val="13"/>
        </w:numPr>
        <w:spacing w:after="0"/>
        <w:ind w:left="1071" w:hanging="357"/>
        <w:rPr>
          <w:rFonts w:cs="Calibri Light"/>
        </w:rPr>
      </w:pPr>
      <w:r w:rsidRPr="00BF4122">
        <w:rPr>
          <w:rFonts w:cs="Calibri Light"/>
        </w:rPr>
        <w:t>współpraca z Europejskim Urzędem Nadzoru Ubezpieczeń i Pracowniczych Programów Emerytalnych – EIOPA</w:t>
      </w:r>
      <w:r w:rsidR="00567D67">
        <w:rPr>
          <w:rFonts w:cs="Calibri Light"/>
        </w:rPr>
        <w:t>,</w:t>
      </w:r>
    </w:p>
    <w:p w:rsidR="000560ED" w:rsidRDefault="000560ED" w:rsidP="008004CF">
      <w:pPr>
        <w:numPr>
          <w:ilvl w:val="0"/>
          <w:numId w:val="13"/>
        </w:numPr>
        <w:spacing w:after="0"/>
        <w:ind w:left="1071" w:hanging="357"/>
        <w:rPr>
          <w:rFonts w:cs="Calibri Light"/>
        </w:rPr>
      </w:pPr>
      <w:r>
        <w:rPr>
          <w:rFonts w:cs="Calibri Light"/>
        </w:rPr>
        <w:t>Rozpoczęcie cyklu spotkań z przedstawicielami działających w Polsce Towarzystw Ubezpieczeń Wzajemnych, posiadających szczególne funkcje i szczególną pozycję pod kątem tworzenia systemu resolution:</w:t>
      </w:r>
    </w:p>
    <w:p w:rsidR="000560ED" w:rsidRPr="004176E9" w:rsidRDefault="000560ED" w:rsidP="008004CF">
      <w:pPr>
        <w:pStyle w:val="Akapitzlist"/>
        <w:numPr>
          <w:ilvl w:val="0"/>
          <w:numId w:val="15"/>
        </w:numPr>
        <w:rPr>
          <w:rFonts w:cs="Calibri Light"/>
          <w:iCs/>
        </w:rPr>
      </w:pPr>
      <w:r w:rsidRPr="004176E9">
        <w:rPr>
          <w:rFonts w:cs="Calibri Light"/>
          <w:iCs/>
        </w:rPr>
        <w:t>Spotkanie z przedstawicielami TUW Cuprum;</w:t>
      </w:r>
    </w:p>
    <w:p w:rsidR="000560ED" w:rsidRPr="004176E9" w:rsidRDefault="000560ED" w:rsidP="008004CF">
      <w:pPr>
        <w:pStyle w:val="Akapitzlist"/>
        <w:numPr>
          <w:ilvl w:val="0"/>
          <w:numId w:val="15"/>
        </w:numPr>
        <w:rPr>
          <w:rFonts w:cs="Calibri Light"/>
          <w:iCs/>
        </w:rPr>
      </w:pPr>
      <w:r w:rsidRPr="004176E9">
        <w:rPr>
          <w:rFonts w:cs="Calibri Light"/>
          <w:iCs/>
        </w:rPr>
        <w:t>Spotkanie z przedstawicielami Saltus TUW;</w:t>
      </w:r>
    </w:p>
    <w:p w:rsidR="000560ED" w:rsidRDefault="000560ED" w:rsidP="008004CF">
      <w:pPr>
        <w:pStyle w:val="Akapitzlist"/>
        <w:numPr>
          <w:ilvl w:val="0"/>
          <w:numId w:val="15"/>
        </w:numPr>
        <w:rPr>
          <w:rFonts w:cs="Calibri Light"/>
        </w:rPr>
      </w:pPr>
      <w:r w:rsidRPr="004176E9">
        <w:rPr>
          <w:rFonts w:cs="Calibri Light"/>
          <w:iCs/>
        </w:rPr>
        <w:t>Nawiąza</w:t>
      </w:r>
      <w:r>
        <w:rPr>
          <w:rFonts w:cs="Calibri Light"/>
        </w:rPr>
        <w:t xml:space="preserve">nie współpracy z Podkomisją ds. TUW, działającej </w:t>
      </w:r>
      <w:r w:rsidR="00057458">
        <w:rPr>
          <w:rFonts w:cs="Calibri Light"/>
        </w:rPr>
        <w:t>przy Polskiej Izbie Ubezpieczeń.</w:t>
      </w:r>
    </w:p>
    <w:p w:rsidR="00FD1099" w:rsidRPr="00DF679D" w:rsidRDefault="00FD1099" w:rsidP="00966A43">
      <w:pPr>
        <w:pStyle w:val="Nagwek1"/>
        <w:spacing w:after="0"/>
        <w:rPr>
          <w:rFonts w:cs="Calibri Light"/>
        </w:rPr>
      </w:pPr>
      <w:bookmarkStart w:id="60" w:name="_Toc34836171"/>
      <w:bookmarkStart w:id="61" w:name="_Toc116304523"/>
      <w:r w:rsidRPr="00DF679D">
        <w:rPr>
          <w:rFonts w:cs="Calibri Light"/>
        </w:rPr>
        <w:t xml:space="preserve">Część </w:t>
      </w:r>
      <w:r w:rsidR="00C24561" w:rsidRPr="00DF679D">
        <w:rPr>
          <w:rFonts w:cs="Calibri Light"/>
        </w:rPr>
        <w:t>3</w:t>
      </w:r>
      <w:r w:rsidRPr="00DF679D">
        <w:rPr>
          <w:rFonts w:cs="Calibri Light"/>
        </w:rPr>
        <w:t>. Przymusowa restrukturyzacja</w:t>
      </w:r>
      <w:bookmarkEnd w:id="60"/>
      <w:bookmarkEnd w:id="61"/>
      <w:r w:rsidRPr="00DF679D">
        <w:rPr>
          <w:rFonts w:cs="Calibri Light"/>
        </w:rPr>
        <w:t xml:space="preserve"> </w:t>
      </w:r>
    </w:p>
    <w:p w:rsidR="00FD1099" w:rsidRDefault="00C24561" w:rsidP="008004CF">
      <w:pPr>
        <w:pStyle w:val="Nagwek2"/>
        <w:numPr>
          <w:ilvl w:val="0"/>
          <w:numId w:val="4"/>
        </w:numPr>
        <w:spacing w:before="240"/>
        <w:ind w:left="714" w:hanging="357"/>
        <w:rPr>
          <w:rFonts w:cs="Calibri Light"/>
        </w:rPr>
      </w:pPr>
      <w:bookmarkStart w:id="62" w:name="_Toc116304524"/>
      <w:r w:rsidRPr="00DF679D">
        <w:rPr>
          <w:rFonts w:cs="Calibri Light"/>
        </w:rPr>
        <w:t>Proces przymusowej restrukturyzacji Idea Banku S.A.</w:t>
      </w:r>
      <w:bookmarkEnd w:id="62"/>
    </w:p>
    <w:p w:rsidR="00057458" w:rsidRDefault="00057458" w:rsidP="00057458">
      <w:pPr>
        <w:spacing w:before="120" w:after="120" w:line="276" w:lineRule="auto"/>
      </w:pPr>
      <w:r w:rsidRPr="00C600A3">
        <w:t>26 lipca 2022 r.</w:t>
      </w:r>
      <w:r>
        <w:t xml:space="preserve"> </w:t>
      </w:r>
      <w:r w:rsidRPr="00C600A3">
        <w:t xml:space="preserve">miało miejsce </w:t>
      </w:r>
      <w:r>
        <w:t xml:space="preserve">drugie </w:t>
      </w:r>
      <w:r w:rsidRPr="00C600A3">
        <w:t>posiedzenie sądu w sprawie wniosku BFG o upadłość Idea Bank</w:t>
      </w:r>
      <w:r>
        <w:t>u</w:t>
      </w:r>
      <w:r w:rsidRPr="00C600A3">
        <w:t xml:space="preserve"> S.A. Sąd postanowił o ogłoszeniu upadłości</w:t>
      </w:r>
      <w:r>
        <w:t>. S</w:t>
      </w:r>
      <w:r w:rsidRPr="00C600A3">
        <w:t>ąd wyznaczył na syndyka</w:t>
      </w:r>
      <w:r>
        <w:t xml:space="preserve"> osobę proponowaną przez Fundusz we wniosku o upadłość. </w:t>
      </w:r>
    </w:p>
    <w:p w:rsidR="00057458" w:rsidRDefault="00057458" w:rsidP="00057458">
      <w:pPr>
        <w:spacing w:before="120" w:after="120" w:line="276" w:lineRule="auto"/>
      </w:pPr>
      <w:r>
        <w:t xml:space="preserve">Ogłoszenie upadłości </w:t>
      </w:r>
      <w:r w:rsidRPr="00C600A3">
        <w:t>Idea Bank S.A.</w:t>
      </w:r>
      <w:r>
        <w:t xml:space="preserve"> oznacza zakończenie procesu przymusowej restrukturyzacji tego banku.</w:t>
      </w:r>
    </w:p>
    <w:p w:rsidR="00057458" w:rsidRDefault="00057458" w:rsidP="008004CF">
      <w:pPr>
        <w:pStyle w:val="Nagwek2"/>
        <w:numPr>
          <w:ilvl w:val="0"/>
          <w:numId w:val="4"/>
        </w:numPr>
        <w:spacing w:before="100"/>
        <w:ind w:left="714" w:hanging="357"/>
      </w:pPr>
      <w:bookmarkStart w:id="63" w:name="_Toc116304525"/>
      <w:r w:rsidRPr="00AD3EDE">
        <w:t xml:space="preserve">Proces przymusowej restrukturyzacji </w:t>
      </w:r>
      <w:r>
        <w:t>Getin Noble</w:t>
      </w:r>
      <w:r w:rsidRPr="00AD3EDE">
        <w:t xml:space="preserve"> Banku</w:t>
      </w:r>
      <w:r>
        <w:t xml:space="preserve"> S.A.</w:t>
      </w:r>
      <w:bookmarkEnd w:id="63"/>
    </w:p>
    <w:p w:rsidR="00057458" w:rsidRDefault="00057458" w:rsidP="00067AC1">
      <w:pPr>
        <w:spacing w:after="120"/>
      </w:pPr>
      <w:r w:rsidRPr="00102067">
        <w:t>Po ponad półrocznych przygotowaniach – od momentu podjęcia przez Zarząd Funduszu decyzji (uchwała z 14 marca br.) o wszczęciu postępowania administracyjnego w przedmiocie podjęcia decyzji o wszczęciu przymusowej restrukturyzacji wobec Getin Noble Bank</w:t>
      </w:r>
      <w:r>
        <w:t xml:space="preserve"> S.A. („GNB”), w dniu 29 </w:t>
      </w:r>
      <w:r w:rsidRPr="00102067">
        <w:t>września 2022 r. Zarząd Funduszu zdecydował o wszczęciu przymusowej restrukturyzacji GNB, umorzeniu instrumentów kapitałowych GNB, zastosowaniu instrumentu przymusowej restrukturyzacji wobec GNB oraz ustanowieniu administratora GNB.</w:t>
      </w:r>
    </w:p>
    <w:p w:rsidR="00057458" w:rsidRPr="00D50AEF" w:rsidRDefault="00057458"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Współpraca z Deloitte Advisory</w:t>
      </w:r>
    </w:p>
    <w:p w:rsidR="00057458" w:rsidRPr="0015478D" w:rsidRDefault="00057458" w:rsidP="0015478D">
      <w:pPr>
        <w:pStyle w:val="Tekstkomentarza"/>
        <w:spacing w:after="0"/>
        <w:rPr>
          <w:sz w:val="24"/>
          <w:szCs w:val="24"/>
          <w:lang w:eastAsia="pl-PL"/>
        </w:rPr>
      </w:pPr>
      <w:r w:rsidRPr="006D42D0">
        <w:rPr>
          <w:sz w:val="24"/>
          <w:szCs w:val="24"/>
          <w:lang w:eastAsia="pl-PL"/>
        </w:rPr>
        <w:t>W III kwartale 2022 r. Fundusz kontynuował współpracę z f</w:t>
      </w:r>
      <w:r w:rsidR="0015478D">
        <w:rPr>
          <w:sz w:val="24"/>
          <w:szCs w:val="24"/>
          <w:lang w:eastAsia="pl-PL"/>
        </w:rPr>
        <w:t>irmą Deloitte Advisory spółka z </w:t>
      </w:r>
      <w:r w:rsidRPr="006D42D0">
        <w:rPr>
          <w:sz w:val="24"/>
          <w:szCs w:val="24"/>
          <w:lang w:eastAsia="pl-PL"/>
        </w:rPr>
        <w:t xml:space="preserve">ograniczoną odpowiedzialnością sp.k. („Deloitte Advisory”, niezależny podmiot dokonujący oszacowania wartości aktywów i zobowiązań GNB na zlecenie Funduszu), która w dniu 24 września 2022 r. przekazała Funduszowi ostateczną wersję raportów z </w:t>
      </w:r>
      <w:r w:rsidR="0015478D">
        <w:rPr>
          <w:sz w:val="24"/>
          <w:szCs w:val="24"/>
          <w:lang w:eastAsia="pl-PL"/>
        </w:rPr>
        <w:t>o</w:t>
      </w:r>
      <w:r w:rsidRPr="006D42D0">
        <w:rPr>
          <w:sz w:val="24"/>
          <w:szCs w:val="24"/>
          <w:lang w:eastAsia="pl-PL"/>
        </w:rPr>
        <w:t>szacowania 1 i 2. Fundusz dokonał analizy otrzymanych raportów pod względem zgodności treści z przepisami prawa i zapisami umowy. Następnie 25 września 202</w:t>
      </w:r>
      <w:r w:rsidR="0015478D">
        <w:rPr>
          <w:sz w:val="24"/>
          <w:szCs w:val="24"/>
          <w:lang w:eastAsia="pl-PL"/>
        </w:rPr>
        <w:t>2</w:t>
      </w:r>
      <w:r w:rsidRPr="006D42D0">
        <w:rPr>
          <w:sz w:val="24"/>
          <w:szCs w:val="24"/>
          <w:lang w:eastAsia="pl-PL"/>
        </w:rPr>
        <w:t xml:space="preserve"> r. Zarząd Funduszu przyjął raporty z oszacowań 1 i 2 sporządzonych przez Deloitte Advisory do</w:t>
      </w:r>
      <w:r w:rsidR="0015478D">
        <w:rPr>
          <w:sz w:val="24"/>
          <w:szCs w:val="24"/>
          <w:lang w:eastAsia="pl-PL"/>
        </w:rPr>
        <w:t>tyczących Getin Noble Bank S.A.</w:t>
      </w:r>
    </w:p>
    <w:p w:rsidR="00057458" w:rsidRPr="00D50AEF" w:rsidRDefault="00057458"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Współpraca z Asseco Poland S.A.</w:t>
      </w:r>
    </w:p>
    <w:p w:rsidR="00057458" w:rsidRDefault="00057458" w:rsidP="0015478D">
      <w:pPr>
        <w:spacing w:after="0"/>
      </w:pPr>
      <w:r>
        <w:t xml:space="preserve">W III kwartale </w:t>
      </w:r>
      <w:r w:rsidR="0015478D">
        <w:t xml:space="preserve">br. </w:t>
      </w:r>
      <w:r>
        <w:t>Fundusz współpracował z firmą Asseco</w:t>
      </w:r>
      <w:r w:rsidRPr="009C1DE1">
        <w:t xml:space="preserve"> </w:t>
      </w:r>
      <w:r w:rsidR="0015478D">
        <w:t xml:space="preserve">Poland S.A. </w:t>
      </w:r>
      <w:r w:rsidRPr="00102067">
        <w:t>w zakresie przygotowania skryptów pozwalających na utworzenie bazy danyc</w:t>
      </w:r>
      <w:r w:rsidR="0015478D">
        <w:t>h (ewidencji księgowej) Banku w </w:t>
      </w:r>
      <w:r w:rsidRPr="00102067">
        <w:t>restrukturyzacji, oddzielnej od bazy instytucji pomostowej.</w:t>
      </w:r>
    </w:p>
    <w:p w:rsidR="00057458" w:rsidRPr="00D50AEF" w:rsidRDefault="00057458"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Proces poszukiwania podmiotu przejmującego GNB</w:t>
      </w:r>
    </w:p>
    <w:p w:rsidR="00057458" w:rsidRDefault="00057458" w:rsidP="0015478D">
      <w:pPr>
        <w:spacing w:after="120"/>
      </w:pPr>
      <w:r>
        <w:t>Zgodnie z przewidzianym w p</w:t>
      </w:r>
      <w:r w:rsidRPr="00CA20E4">
        <w:t>lan</w:t>
      </w:r>
      <w:r>
        <w:t>ie</w:t>
      </w:r>
      <w:r w:rsidRPr="00CA20E4">
        <w:t xml:space="preserve"> przymusowej restrukturyzacji GNB </w:t>
      </w:r>
      <w:r>
        <w:t xml:space="preserve">założeniem dotyczącym instrumentu przymusowej restrukturyzacji tego banku, Fundusz prowadził </w:t>
      </w:r>
      <w:r w:rsidRPr="00CA20E4">
        <w:t>działania zmierzające do wyboru podmiotu przejmującego zgodnie z zasadami określonymi w art. 178 ustawy o BFG.</w:t>
      </w:r>
    </w:p>
    <w:p w:rsidR="00057458" w:rsidRDefault="00057458" w:rsidP="0015478D">
      <w:pPr>
        <w:spacing w:after="120"/>
      </w:pPr>
      <w:r>
        <w:t xml:space="preserve">Podmiotom zainteresowanym udziałem w procesie przejęcia </w:t>
      </w:r>
      <w:r w:rsidR="0015478D">
        <w:t>B</w:t>
      </w:r>
      <w:r>
        <w:t xml:space="preserve">anku, po podpisaniu przez nie stosownego zobowiązania do zachowania poufności, umożliwiono dostęp </w:t>
      </w:r>
      <w:r w:rsidRPr="00CA1CB6">
        <w:t>do wirtualn</w:t>
      </w:r>
      <w:r>
        <w:t>ego</w:t>
      </w:r>
      <w:r w:rsidRPr="00CA1CB6">
        <w:t xml:space="preserve"> pokoju danych</w:t>
      </w:r>
      <w:r>
        <w:t xml:space="preserve">, w którym </w:t>
      </w:r>
      <w:r w:rsidRPr="00CA1CB6">
        <w:t>zamieszczone zostały informacje przekazane do Funduszu przez GNB</w:t>
      </w:r>
      <w:r>
        <w:t>.</w:t>
      </w:r>
    </w:p>
    <w:p w:rsidR="00057458" w:rsidRDefault="00057458" w:rsidP="0015478D">
      <w:pPr>
        <w:spacing w:after="120"/>
      </w:pPr>
      <w:r>
        <w:t>W celu zapewnienia transparentności</w:t>
      </w:r>
      <w:r w:rsidRPr="00CA1CB6">
        <w:t xml:space="preserve"> procesu i równe</w:t>
      </w:r>
      <w:r>
        <w:t>go</w:t>
      </w:r>
      <w:r w:rsidRPr="00CA1CB6">
        <w:t xml:space="preserve"> traktowani</w:t>
      </w:r>
      <w:r>
        <w:t>a</w:t>
      </w:r>
      <w:r w:rsidRPr="00CA1CB6">
        <w:t xml:space="preserve"> wszystkich inwestorów</w:t>
      </w:r>
      <w:r>
        <w:t>,</w:t>
      </w:r>
      <w:r w:rsidRPr="00CA1CB6">
        <w:t xml:space="preserve"> Fundusz </w:t>
      </w:r>
      <w:r>
        <w:t xml:space="preserve">przedstawił zainteresowanym podmiotom </w:t>
      </w:r>
      <w:r w:rsidRPr="00CA1CB6">
        <w:t>harmonogram procesu oraz określił szczegółowe wymogi ofertowe.</w:t>
      </w:r>
      <w:r>
        <w:t xml:space="preserve"> Fundusz zaproponował także inwestorom </w:t>
      </w:r>
      <w:r w:rsidRPr="00CA1CB6">
        <w:t xml:space="preserve">projekt </w:t>
      </w:r>
      <w:r>
        <w:t>u</w:t>
      </w:r>
      <w:r w:rsidRPr="00CA1CB6">
        <w:t xml:space="preserve">mowy </w:t>
      </w:r>
      <w:r>
        <w:t>o</w:t>
      </w:r>
      <w:r w:rsidRPr="00CA1CB6">
        <w:t xml:space="preserve">utsourcingu oraz </w:t>
      </w:r>
      <w:r>
        <w:t>umowy</w:t>
      </w:r>
      <w:r w:rsidRPr="00CA1CB6">
        <w:t xml:space="preserve"> o </w:t>
      </w:r>
      <w:r>
        <w:t>ws</w:t>
      </w:r>
      <w:r w:rsidRPr="00CA1CB6">
        <w:t>półpracy</w:t>
      </w:r>
      <w:r>
        <w:t xml:space="preserve"> mających stanowić jeden z elementów planowanej struktury transakcji.</w:t>
      </w:r>
    </w:p>
    <w:p w:rsidR="00057458" w:rsidRDefault="00057458" w:rsidP="0015478D">
      <w:pPr>
        <w:spacing w:after="120"/>
      </w:pPr>
      <w:r>
        <w:t xml:space="preserve">W wyznaczonym na dzień 17 lipca 2022 r. terminie złożenia oferty wiążącej do Funduszu wpłynęła jedna </w:t>
      </w:r>
      <w:r w:rsidRPr="006C2E90">
        <w:t>deklaracj</w:t>
      </w:r>
      <w:r w:rsidR="0015478D">
        <w:t>a</w:t>
      </w:r>
      <w:r w:rsidRPr="006C2E90">
        <w:t xml:space="preserve"> zainteresowania udziałem w przymusowej restrukturyzacji </w:t>
      </w:r>
      <w:r>
        <w:t xml:space="preserve">oraz jedna oferta. Złożona oferta nie była zgodna z określonymi wymogami w </w:t>
      </w:r>
      <w:r w:rsidRPr="006C2E90">
        <w:t>odniesieniu do struktury transakcji</w:t>
      </w:r>
      <w:r>
        <w:t>.</w:t>
      </w:r>
    </w:p>
    <w:p w:rsidR="00057458" w:rsidRDefault="00057458" w:rsidP="007C3DD4">
      <w:pPr>
        <w:spacing w:after="120"/>
      </w:pPr>
      <w:r w:rsidRPr="00653B0E">
        <w:t xml:space="preserve">12 sierpnia 2022 r. weszła w życie nowelizacja </w:t>
      </w:r>
      <w:r w:rsidRPr="0015478D">
        <w:rPr>
          <w:i/>
        </w:rPr>
        <w:t>ustawy Prawo bankowe</w:t>
      </w:r>
      <w:r w:rsidRPr="00653B0E">
        <w:t xml:space="preserve">, </w:t>
      </w:r>
      <w:r>
        <w:t xml:space="preserve">w ramach której </w:t>
      </w:r>
      <w:r w:rsidRPr="00653B0E">
        <w:t xml:space="preserve">system ochrony banków komercyjnych </w:t>
      </w:r>
      <w:r>
        <w:t xml:space="preserve">zyskał możliwość </w:t>
      </w:r>
      <w:r w:rsidRPr="00653B0E">
        <w:t>udzielani</w:t>
      </w:r>
      <w:r>
        <w:t>a</w:t>
      </w:r>
      <w:r w:rsidRPr="00653B0E">
        <w:t xml:space="preserve"> wsparcia </w:t>
      </w:r>
      <w:r w:rsidR="0015478D">
        <w:t>m.</w:t>
      </w:r>
      <w:r>
        <w:t xml:space="preserve">in. </w:t>
      </w:r>
      <w:r w:rsidRPr="00653B0E">
        <w:t xml:space="preserve">w </w:t>
      </w:r>
      <w:r>
        <w:t xml:space="preserve">procesie </w:t>
      </w:r>
      <w:r w:rsidRPr="00653B0E">
        <w:t xml:space="preserve">przymusowej restrukturyzacji </w:t>
      </w:r>
      <w:r>
        <w:t xml:space="preserve">realizowanym w </w:t>
      </w:r>
      <w:r w:rsidRPr="00653B0E">
        <w:t>oparciu o instrument instytucji pomostowej</w:t>
      </w:r>
      <w:r>
        <w:t xml:space="preserve">. Powstanie takiej możliwości pozyskania wsparcia stworzyło, niedostępne wcześniej, warunki zbudowania struktury transakcji opartej na zastosowaniu instrumentu instytucji pomostowej. Wykorzystanie instytucji pomostowej </w:t>
      </w:r>
      <w:r w:rsidRPr="00B32F6D">
        <w:t>nie był</w:t>
      </w:r>
      <w:r>
        <w:t xml:space="preserve">o wcześniej </w:t>
      </w:r>
      <w:r w:rsidRPr="00B32F6D">
        <w:t>bran</w:t>
      </w:r>
      <w:r>
        <w:t>e</w:t>
      </w:r>
      <w:r w:rsidRPr="00B32F6D">
        <w:t xml:space="preserve"> pod uwagę jako preferowan</w:t>
      </w:r>
      <w:r>
        <w:t>y scenariusz</w:t>
      </w:r>
      <w:r w:rsidRPr="00B32F6D">
        <w:t xml:space="preserve">, zarówno w planie przymusowej restrukturyzacji jak i w ramach prowadzonego postępowania przygotowawczego do </w:t>
      </w:r>
      <w:r>
        <w:t xml:space="preserve">przymusowej restrukturyzacji </w:t>
      </w:r>
      <w:r w:rsidRPr="00B32F6D">
        <w:t>GNB</w:t>
      </w:r>
      <w:r>
        <w:t>.</w:t>
      </w:r>
    </w:p>
    <w:p w:rsidR="00057458" w:rsidRDefault="00057458" w:rsidP="0015478D">
      <w:pPr>
        <w:spacing w:after="120"/>
      </w:pPr>
      <w:r>
        <w:t xml:space="preserve">Z uwagi na nowe możliwości w zakresie zastosowania instrumentów przymusowej restrukturyzacji oraz konieczność podjęcia dodatkowych negocjacji z </w:t>
      </w:r>
      <w:r w:rsidR="0015478D">
        <w:t>dwoma</w:t>
      </w:r>
      <w:r>
        <w:t xml:space="preserve"> zainteresowanymi, Fundusz wyznaczył dodatkowy termin na złożenie ofert wiążących, tj. </w:t>
      </w:r>
      <w:r w:rsidRPr="00336F99">
        <w:t>22 sierpnia 2022 r.</w:t>
      </w:r>
      <w:r w:rsidR="0015478D">
        <w:t xml:space="preserve"> i w </w:t>
      </w:r>
      <w:r>
        <w:t>terminie tym wpłynęły oferty złożone przez oba podmioty pozostałe w procesie poszukiwań podmiotu przejmującego.</w:t>
      </w:r>
    </w:p>
    <w:p w:rsidR="00057458" w:rsidRDefault="00057458" w:rsidP="0015478D">
      <w:pPr>
        <w:spacing w:after="120"/>
      </w:pPr>
      <w:r>
        <w:t>Obie złożone oferty nie spełniały kryteriów pozwalających na ich przyjęcie przez Fundusz. W</w:t>
      </w:r>
      <w:r w:rsidR="0015478D">
        <w:t> </w:t>
      </w:r>
      <w:r>
        <w:t xml:space="preserve">obydwu ofertach </w:t>
      </w:r>
      <w:r w:rsidRPr="008038B0">
        <w:t xml:space="preserve">oczekiwany zakres wsparcia nie </w:t>
      </w:r>
      <w:r>
        <w:t xml:space="preserve">był </w:t>
      </w:r>
      <w:r w:rsidRPr="008038B0">
        <w:t>możliwy do pogodzenia z unijnymi zasadami udzielania pomocy publicznej w warunkach przymusowej restrukturyzacji</w:t>
      </w:r>
      <w:r>
        <w:t xml:space="preserve"> oraz pozostawał </w:t>
      </w:r>
      <w:r w:rsidRPr="008038B0">
        <w:t xml:space="preserve">w sprzeczności z </w:t>
      </w:r>
      <w:r>
        <w:t>u</w:t>
      </w:r>
      <w:r w:rsidRPr="008038B0">
        <w:t xml:space="preserve">stawą o BFG, w tym </w:t>
      </w:r>
      <w:r>
        <w:t xml:space="preserve">z </w:t>
      </w:r>
      <w:r w:rsidRPr="008038B0">
        <w:t xml:space="preserve">celami </w:t>
      </w:r>
      <w:r>
        <w:t>przymusowej restrukturyzacji.</w:t>
      </w:r>
    </w:p>
    <w:p w:rsidR="00057458" w:rsidRDefault="00057458" w:rsidP="0015478D">
      <w:pPr>
        <w:spacing w:after="120"/>
      </w:pPr>
      <w:r>
        <w:t xml:space="preserve">Fundusz podjął jeszcze negocjacje z oferentami w celu znalezienia ewentualnej możliwości zmiany oferowanych warunków na akceptowalne przez Fundusz, które zakończyły się złożeniem zmodyfikowanych ofert w dniu 16 września 2022 r. Jednakże oferty te również nie mogły być zaakceptowane przez BFG z uwagi na brak uwzględnienia w nich krytycznych elementów wskazywanych w negocjacjach przez Fundusz. </w:t>
      </w:r>
    </w:p>
    <w:p w:rsidR="00057458" w:rsidRDefault="00057458" w:rsidP="0015478D">
      <w:pPr>
        <w:spacing w:after="120"/>
      </w:pPr>
      <w:r>
        <w:t xml:space="preserve">Wobec braku możliwości wyłonienia podmiotu przejmującego na warunkach określonych w ramach dopuszczalnej wielkości pomocy publicznej Fundusz odrzucił obie złożone oferty i przystąpił do realizacji scenariusza alternatywnego uwzględniającego zastosowanie instrumentu instytucji pomostowej. Ostateczna decyzja w tej kwestii została podjęta przez Zarząd Funduszu uchwałą nr </w:t>
      </w:r>
      <w:r w:rsidRPr="004839EC">
        <w:t>338/DPR/2022</w:t>
      </w:r>
      <w:r>
        <w:t xml:space="preserve"> w dniu </w:t>
      </w:r>
      <w:r w:rsidRPr="00A6162A">
        <w:t>22 września 2022 r.</w:t>
      </w:r>
    </w:p>
    <w:p w:rsidR="00057458" w:rsidRPr="00D50AEF" w:rsidRDefault="00057458"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Utworzenie instytucji pomostowej</w:t>
      </w:r>
    </w:p>
    <w:p w:rsidR="00057458" w:rsidRDefault="00057458" w:rsidP="009909F5">
      <w:pPr>
        <w:spacing w:after="120"/>
      </w:pPr>
      <w:r>
        <w:t>5 września 2022 r</w:t>
      </w:r>
      <w:r w:rsidR="007C3DD4">
        <w:t>.</w:t>
      </w:r>
      <w:r>
        <w:t xml:space="preserve"> Fundusz utworzył instytucję pomostową, o której mowa w art. 181 ust. 1 ustawy o BFG, funkcjonującą pod nazwą Bank BFG S.A.</w:t>
      </w:r>
      <w:r w:rsidRPr="00FD607B">
        <w:t xml:space="preserve"> Wraz </w:t>
      </w:r>
      <w:r w:rsidR="007C3DD4">
        <w:t>z utworzeniem spółki powołano w </w:t>
      </w:r>
      <w:r w:rsidRPr="00FD607B">
        <w:t xml:space="preserve">niej </w:t>
      </w:r>
      <w:r>
        <w:t>trzyosobowy</w:t>
      </w:r>
      <w:r w:rsidRPr="00FD607B">
        <w:t xml:space="preserve"> Zarząd i </w:t>
      </w:r>
      <w:r>
        <w:t>pięcio</w:t>
      </w:r>
      <w:r w:rsidRPr="00FD607B">
        <w:t>osobową Radę Nadzorczą.</w:t>
      </w:r>
      <w:r>
        <w:t xml:space="preserve"> Zgoda KNF na utworzenie instytucji pomostowej </w:t>
      </w:r>
      <w:r w:rsidR="008B18FD">
        <w:t>zawierała zwolnienia</w:t>
      </w:r>
      <w:r>
        <w:t xml:space="preserve"> z niektórych wymogów regulacyjnych. </w:t>
      </w:r>
    </w:p>
    <w:p w:rsidR="00057458" w:rsidRDefault="00057458" w:rsidP="007C3DD4">
      <w:pPr>
        <w:spacing w:after="120"/>
      </w:pPr>
      <w:r>
        <w:t>Fundusz wyposażył Bank BFG S.A. w kapitał założycielski w wyso</w:t>
      </w:r>
      <w:r w:rsidR="00884A26">
        <w:t>kości 700 mln zł, z tego 25 mln </w:t>
      </w:r>
      <w:r>
        <w:t xml:space="preserve">zł zostało przeznaczone na kapitał zakładowy, a pozostała kwota 675 mln zł na kapitał zapasowy. </w:t>
      </w:r>
    </w:p>
    <w:p w:rsidR="00057458" w:rsidRDefault="00884A26" w:rsidP="007C3DD4">
      <w:pPr>
        <w:spacing w:after="120"/>
      </w:pPr>
      <w:r>
        <w:t>9 września 2022 r.</w:t>
      </w:r>
      <w:r w:rsidRPr="00653B0E">
        <w:t xml:space="preserve"> </w:t>
      </w:r>
      <w:r w:rsidR="00057458" w:rsidRPr="00653B0E">
        <w:t xml:space="preserve">Bank BFG S.A. </w:t>
      </w:r>
      <w:r w:rsidR="00057458">
        <w:t>został zarejestrowany</w:t>
      </w:r>
      <w:r>
        <w:t xml:space="preserve"> w Krajowym Rejestrze Sądowym w </w:t>
      </w:r>
      <w:r w:rsidR="00057458">
        <w:t>dniu</w:t>
      </w:r>
      <w:r>
        <w:t>.</w:t>
      </w:r>
    </w:p>
    <w:p w:rsidR="00057458" w:rsidRDefault="00057458" w:rsidP="00884A26">
      <w:pPr>
        <w:spacing w:after="120"/>
      </w:pPr>
      <w:r>
        <w:t xml:space="preserve">Jedynym założycielem Banku BFG S.A. był Fundusz obejmujący 100% akcji tego podmiotu. </w:t>
      </w:r>
    </w:p>
    <w:p w:rsidR="00057458" w:rsidRDefault="00057458" w:rsidP="007C3DD4">
      <w:pPr>
        <w:spacing w:after="120"/>
      </w:pPr>
      <w:r>
        <w:t>W ramach uzgodnień dotyczących wsparcia udzielanego w procesie przymusowej restrukturyzacji przez S</w:t>
      </w:r>
      <w:r w:rsidRPr="007E3589">
        <w:t xml:space="preserve">ystem </w:t>
      </w:r>
      <w:r>
        <w:t>O</w:t>
      </w:r>
      <w:r w:rsidRPr="007E3589">
        <w:t xml:space="preserve">chrony </w:t>
      </w:r>
      <w:r>
        <w:t>Banków K</w:t>
      </w:r>
      <w:r w:rsidRPr="007E3589">
        <w:t>omercyjnych</w:t>
      </w:r>
      <w:r>
        <w:t xml:space="preserve"> S.A. uzgodniono, że jedną z form takiego wsparcia będzie zakup 49% należących do Funduszu akcji Banku BFG S.A. </w:t>
      </w:r>
      <w:r w:rsidRPr="009E73CF">
        <w:t>W ramach przygotowań do planowanej transakcji w dniu 26 września 2022 r. Nadzwyczajne Walne Zgromadzenie instytucji pomostowej przegłosowało wprowadzenie zmian w treści statutu spółki, w tym zmian</w:t>
      </w:r>
      <w:r w:rsidR="00884A26">
        <w:t>ę</w:t>
      </w:r>
      <w:r w:rsidRPr="009E73CF">
        <w:t xml:space="preserve"> nazwy spółki na VeloBank S.A. Instytucja pomostowa będzie posługiwać się nową nazwą firmy od momentu zarejestrowania w KRS</w:t>
      </w:r>
      <w:r>
        <w:t>.</w:t>
      </w:r>
    </w:p>
    <w:p w:rsidR="00057458" w:rsidRPr="00D50AEF" w:rsidRDefault="00057458"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Wsparcie pozyskane z system ochrony banków komercyjnych</w:t>
      </w:r>
    </w:p>
    <w:p w:rsidR="00057458" w:rsidRDefault="00057458" w:rsidP="00884A26">
      <w:pPr>
        <w:spacing w:after="120"/>
      </w:pPr>
      <w:r>
        <w:t xml:space="preserve">Z wnioskiem o wsparcie środkami SOBK procesu przymusowej restrukturyzacji GNB Fundusz wystąpił w dniu </w:t>
      </w:r>
      <w:r w:rsidRPr="00DA47E9">
        <w:t>31 sierpnia 2022</w:t>
      </w:r>
      <w:r>
        <w:t xml:space="preserve"> r. a w dniu 14</w:t>
      </w:r>
      <w:r w:rsidRPr="00CE528B">
        <w:t xml:space="preserve"> września 2022</w:t>
      </w:r>
      <w:r>
        <w:t xml:space="preserve"> r. SOBK złożył na </w:t>
      </w:r>
      <w:r w:rsidRPr="00CE528B">
        <w:t xml:space="preserve">rzecz </w:t>
      </w:r>
      <w:r>
        <w:t xml:space="preserve">GNB </w:t>
      </w:r>
      <w:r w:rsidRPr="00CE528B">
        <w:t xml:space="preserve">deklarację wsparcia </w:t>
      </w:r>
      <w:r>
        <w:t>we wnioskowanym przez Fundusz zakresie.</w:t>
      </w:r>
      <w:r w:rsidRPr="001D5B33">
        <w:t xml:space="preserve"> </w:t>
      </w:r>
      <w:r>
        <w:t xml:space="preserve">Na potrzeby wykorzystania wsparcia SOBK </w:t>
      </w:r>
      <w:r w:rsidRPr="00A605D2">
        <w:t xml:space="preserve">Fundusz uzgodnił z Komisją Europejską warunki użycia środków </w:t>
      </w:r>
      <w:r w:rsidR="003A271A">
        <w:t>pochodzących z </w:t>
      </w:r>
      <w:r>
        <w:t>tego źródła w</w:t>
      </w:r>
      <w:r w:rsidRPr="00A605D2">
        <w:t xml:space="preserve"> procesach przymusowej restrukturyzacji wobec banków komercyjnych</w:t>
      </w:r>
      <w:r>
        <w:t>.</w:t>
      </w:r>
    </w:p>
    <w:p w:rsidR="00057458" w:rsidRDefault="00057458" w:rsidP="00884A26">
      <w:pPr>
        <w:spacing w:after="120"/>
      </w:pPr>
      <w:r>
        <w:t xml:space="preserve">21 września br. Fundusz złożył do SOBK </w:t>
      </w:r>
      <w:r w:rsidRPr="00CE528B">
        <w:t xml:space="preserve">uzupełnienie </w:t>
      </w:r>
      <w:r>
        <w:t>w</w:t>
      </w:r>
      <w:r w:rsidRPr="00CE528B">
        <w:t>niosku</w:t>
      </w:r>
      <w:r>
        <w:t xml:space="preserve"> o udzielenie wsparcia, zakładające wsparcie zarówno w formie dotacji jak i zakupu 49% akcji utworzonej przez Fundusz instytucji pomostowej. Zmodyfikowana deklaracja wsparcia ze strony SOBK została przekazana Funduszowi w dniu 24</w:t>
      </w:r>
      <w:r w:rsidRPr="00AF2FBB">
        <w:t xml:space="preserve"> września 2022 r. </w:t>
      </w:r>
      <w:r>
        <w:t>Ostatecznie ustalona wartość i forma wsparcia przewidywała udzielenie przez SOBK dotacji w wysokości 3</w:t>
      </w:r>
      <w:r w:rsidR="003A271A">
        <w:t> </w:t>
      </w:r>
      <w:r>
        <w:t>127 mln</w:t>
      </w:r>
      <w:r w:rsidRPr="00A47E2A">
        <w:t xml:space="preserve"> </w:t>
      </w:r>
      <w:r>
        <w:t>zł</w:t>
      </w:r>
      <w:r w:rsidRPr="00A47E2A">
        <w:t xml:space="preserve"> </w:t>
      </w:r>
      <w:r w:rsidR="003A271A">
        <w:t>na rzecz podmiotu w </w:t>
      </w:r>
      <w:r>
        <w:t xml:space="preserve">restrukturyzacji </w:t>
      </w:r>
      <w:r w:rsidRPr="00A47E2A">
        <w:t>oraz nabyci</w:t>
      </w:r>
      <w:r>
        <w:t>e</w:t>
      </w:r>
      <w:r w:rsidRPr="00A47E2A">
        <w:t xml:space="preserve"> 49</w:t>
      </w:r>
      <w:r>
        <w:t>%</w:t>
      </w:r>
      <w:r w:rsidRPr="00A47E2A">
        <w:t xml:space="preserve"> akcji </w:t>
      </w:r>
      <w:r>
        <w:t xml:space="preserve">Banku BFG S.A. </w:t>
      </w:r>
      <w:r w:rsidRPr="00A47E2A">
        <w:t xml:space="preserve">za cenę </w:t>
      </w:r>
      <w:r>
        <w:t>3</w:t>
      </w:r>
      <w:r w:rsidRPr="00A47E2A">
        <w:t>43 ml</w:t>
      </w:r>
      <w:r>
        <w:t>n</w:t>
      </w:r>
      <w:r w:rsidRPr="00A47E2A">
        <w:t xml:space="preserve"> </w:t>
      </w:r>
      <w:r>
        <w:t>zł.</w:t>
      </w:r>
    </w:p>
    <w:p w:rsidR="00057458" w:rsidRDefault="00057458" w:rsidP="00884A26">
      <w:pPr>
        <w:spacing w:after="120"/>
      </w:pPr>
      <w:r>
        <w:t xml:space="preserve">W związku z otrzymaną zmodyfikowaną deklaracją wsparcia z SOBK zakładającą nabycie 49% akcji Banku BFG S.A. przez SOBK, przygotowany został projekt stosownej umowy nabycia akcji. Ponadto Fundusz w </w:t>
      </w:r>
      <w:r w:rsidRPr="004B395F">
        <w:t>dniu 27 września br</w:t>
      </w:r>
      <w:r>
        <w:t xml:space="preserve">. wystąpił do </w:t>
      </w:r>
      <w:r w:rsidR="003A271A">
        <w:t>KNF</w:t>
      </w:r>
      <w:r>
        <w:t xml:space="preserve"> z wnioskiem o wyrażenie zgody na sprzedaż akcji banku zgodnie z art. 28 </w:t>
      </w:r>
      <w:r w:rsidRPr="003A271A">
        <w:rPr>
          <w:i/>
        </w:rPr>
        <w:t>ustawy Prawo bankowe</w:t>
      </w:r>
      <w:r>
        <w:t>. Decyzja KNF zezwalająca na sprzedaż ww. pakietu akcji została wydana w dniu 28 września br.</w:t>
      </w:r>
    </w:p>
    <w:p w:rsidR="00057458" w:rsidRPr="009658EA" w:rsidRDefault="00057458" w:rsidP="003A271A">
      <w:pPr>
        <w:spacing w:after="120"/>
        <w:rPr>
          <w:i/>
        </w:rPr>
      </w:pPr>
      <w:r>
        <w:t xml:space="preserve">Niezależnie od powyższego transakcja wymaga uzyskania przez SOBK braku sprzeciwu ze strony </w:t>
      </w:r>
      <w:r w:rsidR="009658EA">
        <w:t>KNF</w:t>
      </w:r>
      <w:r>
        <w:t xml:space="preserve"> do wykonywania praw głosu z zakupionych akcji Banku BFG S.A</w:t>
      </w:r>
      <w:r w:rsidRPr="00954F2D">
        <w:t xml:space="preserve">. w trybie art. </w:t>
      </w:r>
      <w:r w:rsidRPr="009658EA">
        <w:rPr>
          <w:i/>
        </w:rPr>
        <w:t>25j ustawy Prawo bankowe.</w:t>
      </w:r>
    </w:p>
    <w:p w:rsidR="00057458" w:rsidRDefault="00057458" w:rsidP="004F4B95">
      <w:pPr>
        <w:spacing w:after="120"/>
      </w:pPr>
      <w:r w:rsidRPr="00954F2D">
        <w:t>Umowa kupna-sprzedaży akcji Banku BFG S.A. została z</w:t>
      </w:r>
      <w:r>
        <w:t>a</w:t>
      </w:r>
      <w:r w:rsidRPr="00954F2D">
        <w:t xml:space="preserve">warta w dniu </w:t>
      </w:r>
      <w:r>
        <w:t>29 września 2022 r. na warunkach zgodnych ze zmodyfikowaną deklaracją</w:t>
      </w:r>
      <w:r w:rsidRPr="00E90D8F">
        <w:t xml:space="preserve"> wsparcia ze strony SOBK</w:t>
      </w:r>
      <w:r>
        <w:t>.</w:t>
      </w:r>
    </w:p>
    <w:p w:rsidR="00057458" w:rsidRPr="004F4B95" w:rsidRDefault="00057458" w:rsidP="00D50AEF">
      <w:pPr>
        <w:keepNext/>
        <w:spacing w:before="120" w:after="120"/>
        <w:outlineLvl w:val="3"/>
        <w:rPr>
          <w:rFonts w:eastAsia="Times New Roman" w:cs="Calibri Light"/>
          <w:bCs/>
          <w:i/>
          <w:szCs w:val="28"/>
          <w:u w:val="single"/>
        </w:rPr>
      </w:pPr>
      <w:r w:rsidRPr="004F4B95">
        <w:rPr>
          <w:rFonts w:eastAsia="Times New Roman" w:cs="Calibri Light"/>
          <w:bCs/>
          <w:i/>
          <w:szCs w:val="28"/>
          <w:u w:val="single"/>
        </w:rPr>
        <w:t>Zmiana zarządu instytucji pomostowej</w:t>
      </w:r>
    </w:p>
    <w:p w:rsidR="00057458" w:rsidRDefault="00057458" w:rsidP="004F4B95">
      <w:pPr>
        <w:spacing w:after="120"/>
      </w:pPr>
      <w:r>
        <w:t xml:space="preserve">29 września 2022 r. Rada Nadzorcza instytucji pomostowej podjęła uchwały dotyczące składu </w:t>
      </w:r>
      <w:r w:rsidR="009A5C12">
        <w:t>Z</w:t>
      </w:r>
      <w:r>
        <w:t xml:space="preserve">arządu Banku. Na czele nowego Zarządu stanął </w:t>
      </w:r>
      <w:r w:rsidRPr="00507F05">
        <w:t>Adam Marciniak</w:t>
      </w:r>
      <w:r>
        <w:t>, pozostałymi członkami zostali: Mirosław Boda, Przemysław Koch, Paulina Strugała.</w:t>
      </w:r>
    </w:p>
    <w:p w:rsidR="00057458" w:rsidRPr="009A5C12" w:rsidRDefault="00057458" w:rsidP="00D50AEF">
      <w:pPr>
        <w:keepNext/>
        <w:spacing w:before="120" w:after="120"/>
        <w:outlineLvl w:val="3"/>
        <w:rPr>
          <w:rFonts w:eastAsia="Times New Roman" w:cs="Calibri Light"/>
          <w:bCs/>
          <w:i/>
          <w:szCs w:val="28"/>
          <w:u w:val="single"/>
        </w:rPr>
      </w:pPr>
      <w:r w:rsidRPr="009A5C12">
        <w:rPr>
          <w:rFonts w:eastAsia="Times New Roman" w:cs="Calibri Light"/>
          <w:bCs/>
          <w:i/>
          <w:szCs w:val="28"/>
          <w:u w:val="single"/>
        </w:rPr>
        <w:t>Wszczęcie przymusowej restrukturyzacji GNB</w:t>
      </w:r>
    </w:p>
    <w:p w:rsidR="00057458" w:rsidRDefault="00057458" w:rsidP="009A5C12">
      <w:pPr>
        <w:spacing w:after="120"/>
      </w:pPr>
      <w:r>
        <w:t xml:space="preserve">30 września br. </w:t>
      </w:r>
      <w:r w:rsidRPr="008979E2">
        <w:t>F</w:t>
      </w:r>
      <w:r>
        <w:t xml:space="preserve">undusz decyzją nr </w:t>
      </w:r>
      <w:r w:rsidRPr="008979E2">
        <w:t>DPR.720.6.2021.256</w:t>
      </w:r>
      <w:r>
        <w:t xml:space="preserve"> z dnia 29 września br. </w:t>
      </w:r>
      <w:r w:rsidRPr="008979E2">
        <w:t>wszczął przymusową restrukturyza</w:t>
      </w:r>
      <w:r>
        <w:t>cję wobec Getin Noble Bank S.A. De</w:t>
      </w:r>
      <w:r w:rsidR="009A5C12">
        <w:t>cyzja Funduszu weszła w życie z </w:t>
      </w:r>
      <w:r w:rsidRPr="008979E2">
        <w:t xml:space="preserve">dniem </w:t>
      </w:r>
      <w:r>
        <w:t xml:space="preserve">jej </w:t>
      </w:r>
      <w:r w:rsidRPr="008979E2">
        <w:t>doręczenia</w:t>
      </w:r>
      <w:r>
        <w:t>, czyli w dniu 30 września br.</w:t>
      </w:r>
    </w:p>
    <w:p w:rsidR="00057458" w:rsidRDefault="00057458" w:rsidP="009A5C12">
      <w:pPr>
        <w:spacing w:after="120"/>
      </w:pPr>
      <w:r>
        <w:t xml:space="preserve">Na potrzeby </w:t>
      </w:r>
      <w:r w:rsidRPr="00746ADF">
        <w:t>pokry</w:t>
      </w:r>
      <w:r>
        <w:t>cia</w:t>
      </w:r>
      <w:r w:rsidRPr="00746ADF">
        <w:t xml:space="preserve"> przez właścicieli strat </w:t>
      </w:r>
      <w:r>
        <w:t xml:space="preserve">GNB </w:t>
      </w:r>
      <w:r w:rsidRPr="00746ADF">
        <w:t xml:space="preserve">akcje </w:t>
      </w:r>
      <w:r>
        <w:t xml:space="preserve">i </w:t>
      </w:r>
      <w:r w:rsidRPr="00746ADF">
        <w:t>obligacje podporządkowane</w:t>
      </w:r>
      <w:r>
        <w:t xml:space="preserve"> wyemitowane przez GNB </w:t>
      </w:r>
      <w:r w:rsidRPr="00746ADF">
        <w:t>zostały umorzone. Zarząd Getin Noble</w:t>
      </w:r>
      <w:r w:rsidR="009A5C12">
        <w:t xml:space="preserve"> Bank S.A. uległ rozwiązaniu, a </w:t>
      </w:r>
      <w:r w:rsidRPr="00746ADF">
        <w:t xml:space="preserve">kompetencje rady nadzorczej zostały zawieszone. </w:t>
      </w:r>
      <w:r>
        <w:t>Jako a</w:t>
      </w:r>
      <w:r w:rsidRPr="00746ADF">
        <w:t xml:space="preserve">dministrator GNB </w:t>
      </w:r>
      <w:r>
        <w:t xml:space="preserve">Fundusz </w:t>
      </w:r>
      <w:r w:rsidRPr="00746ADF">
        <w:t>wyznaczy</w:t>
      </w:r>
      <w:r>
        <w:t>ł</w:t>
      </w:r>
      <w:r w:rsidRPr="00746ADF">
        <w:t xml:space="preserve"> Pawł</w:t>
      </w:r>
      <w:r>
        <w:t>a</w:t>
      </w:r>
      <w:r w:rsidRPr="00746ADF">
        <w:t xml:space="preserve"> Małolepsz</w:t>
      </w:r>
      <w:r>
        <w:t>ego</w:t>
      </w:r>
      <w:r w:rsidRPr="00746ADF">
        <w:t>.</w:t>
      </w:r>
    </w:p>
    <w:p w:rsidR="00057458" w:rsidRDefault="00057458" w:rsidP="009A5C12">
      <w:pPr>
        <w:spacing w:after="120"/>
      </w:pPr>
      <w:r>
        <w:t>Na mocy Decyzji Funduszu wobec GNB za</w:t>
      </w:r>
      <w:r w:rsidRPr="00746ADF">
        <w:t>stos</w:t>
      </w:r>
      <w:r>
        <w:t>owano</w:t>
      </w:r>
      <w:r w:rsidRPr="00746ADF">
        <w:t xml:space="preserve"> instrument przymusowej restrukturyzacji w formie instytucji pomostowej</w:t>
      </w:r>
      <w:r>
        <w:t>. D</w:t>
      </w:r>
      <w:r w:rsidRPr="00746ADF">
        <w:t>o instytucji pomostowej</w:t>
      </w:r>
      <w:r>
        <w:t xml:space="preserve">, z </w:t>
      </w:r>
      <w:r w:rsidRPr="00746ADF">
        <w:t>dniem 3 października 2022 r.</w:t>
      </w:r>
      <w:r>
        <w:t>,</w:t>
      </w:r>
      <w:r w:rsidRPr="00746ADF">
        <w:t xml:space="preserve"> przen</w:t>
      </w:r>
      <w:r>
        <w:t xml:space="preserve">iesione zostało </w:t>
      </w:r>
      <w:r w:rsidRPr="00746ADF">
        <w:t xml:space="preserve">przedsiębiorstwo </w:t>
      </w:r>
      <w:r>
        <w:t>oraz zobowiązania GN</w:t>
      </w:r>
      <w:r w:rsidR="009A5C12">
        <w:t>B z uwzględnieniem wskazanych w D</w:t>
      </w:r>
      <w:r>
        <w:t>ecyzji Fun</w:t>
      </w:r>
      <w:r w:rsidR="009A5C12">
        <w:t>duszu wyłączeń, obejmujących m.</w:t>
      </w:r>
      <w:r>
        <w:t>in. kredyty</w:t>
      </w:r>
      <w:r w:rsidRPr="00B54AB6">
        <w:t xml:space="preserve"> i pożyczk</w:t>
      </w:r>
      <w:r>
        <w:t>i</w:t>
      </w:r>
      <w:r w:rsidRPr="00B54AB6">
        <w:t xml:space="preserve"> denominowan</w:t>
      </w:r>
      <w:r>
        <w:t>e</w:t>
      </w:r>
      <w:r w:rsidRPr="00B54AB6">
        <w:t xml:space="preserve"> we franku s</w:t>
      </w:r>
      <w:r>
        <w:t>zwajcarskim (CHF) lub indeksowane</w:t>
      </w:r>
      <w:r w:rsidRPr="00B54AB6">
        <w:t xml:space="preserve"> kursem franka szwajcarskiego CHF</w:t>
      </w:r>
      <w:r>
        <w:t xml:space="preserve">, </w:t>
      </w:r>
      <w:r w:rsidRPr="006A2633">
        <w:t>kredyt</w:t>
      </w:r>
      <w:r>
        <w:t>y</w:t>
      </w:r>
      <w:r w:rsidRPr="006A2633">
        <w:t xml:space="preserve"> hipoteczn</w:t>
      </w:r>
      <w:r>
        <w:t>e</w:t>
      </w:r>
      <w:r w:rsidRPr="006A2633">
        <w:t xml:space="preserve"> denominowan</w:t>
      </w:r>
      <w:r>
        <w:t>e</w:t>
      </w:r>
      <w:r w:rsidRPr="006A2633">
        <w:t xml:space="preserve"> w walucie obcej lub indeksowanych kursem waluty obcej</w:t>
      </w:r>
      <w:r w:rsidR="0071357F">
        <w:t xml:space="preserve"> oraz wskazanych w </w:t>
      </w:r>
      <w:r>
        <w:t>decyzji</w:t>
      </w:r>
      <w:r w:rsidRPr="00626C53">
        <w:t xml:space="preserve"> </w:t>
      </w:r>
      <w:r>
        <w:t>inwestycji kapitałowych GNB.</w:t>
      </w:r>
    </w:p>
    <w:p w:rsidR="00057458" w:rsidRDefault="00057458" w:rsidP="00057458">
      <w:pPr>
        <w:ind w:left="426" w:firstLine="0"/>
      </w:pPr>
    </w:p>
    <w:p w:rsidR="00057458" w:rsidRPr="0071357F" w:rsidRDefault="00057458" w:rsidP="00D50AEF">
      <w:pPr>
        <w:keepNext/>
        <w:spacing w:before="120" w:after="120"/>
        <w:outlineLvl w:val="3"/>
        <w:rPr>
          <w:rFonts w:eastAsia="Times New Roman" w:cs="Calibri Light"/>
          <w:bCs/>
          <w:i/>
          <w:szCs w:val="28"/>
          <w:u w:val="single"/>
        </w:rPr>
      </w:pPr>
      <w:r w:rsidRPr="0071357F">
        <w:rPr>
          <w:rFonts w:eastAsia="Times New Roman" w:cs="Calibri Light"/>
          <w:bCs/>
          <w:i/>
          <w:szCs w:val="28"/>
          <w:u w:val="single"/>
        </w:rPr>
        <w:t xml:space="preserve">Konsultacje z Komisją Europejską </w:t>
      </w:r>
    </w:p>
    <w:p w:rsidR="00057458" w:rsidRDefault="00057458" w:rsidP="0071357F">
      <w:r>
        <w:t>W okresie poprzedzającym wszczęcie przymusowej restrukturyzacji GNB, Fundusz prowadził konsultacje planowanych założeń procesu przymusowej restrukturyzacji GNB pod kątem ich zgodności z prawem Unii Europejskiej w zakresie pomocy publicznej (tzw. proces pre-notyfikacji pomocy publicznej). W wyniku tych uzgodnień, Fundusz przekazał 29 września 2022 r., za pośrednictwem Urzędu Ochrony Konkurencji i Konsumentów, do Komisji Europejskiej, notyfikację pomocy publicznej związanej z wszczęciem przymusowej restrukturyzacji Getin Noble Bank</w:t>
      </w:r>
      <w:r w:rsidR="0071357F">
        <w:t>u</w:t>
      </w:r>
      <w:r>
        <w:t xml:space="preserve"> S.A. i zastosowaniem instrumentu instytucji pomostowej. 1 października 2022 r. Komisja Europejska poinformowała o stwierdzeniu zgodności udzie</w:t>
      </w:r>
      <w:r w:rsidR="0071357F">
        <w:t>lonego przez Fundusz wsparcia w </w:t>
      </w:r>
      <w:r>
        <w:t>ramach procesu przymusowej restrukturyzacji GNB z przepisami wspólnotowymi regulującymi zasady udzielania pomocy państwa oraz z przepisami BRRD w zakresie mechanizmu zastosowani</w:t>
      </w:r>
      <w:r w:rsidR="00D375AE">
        <w:t>a wsparcia w </w:t>
      </w:r>
      <w:r>
        <w:t xml:space="preserve">przymusowej restrukturyzacji. </w:t>
      </w:r>
    </w:p>
    <w:p w:rsidR="0076523D" w:rsidRPr="00DF679D" w:rsidRDefault="0076523D" w:rsidP="00B16FD8">
      <w:pPr>
        <w:pStyle w:val="Nagwek1"/>
        <w:spacing w:after="0"/>
        <w:rPr>
          <w:rFonts w:cs="Calibri Light"/>
        </w:rPr>
      </w:pPr>
      <w:bookmarkStart w:id="64" w:name="_Toc32571607"/>
      <w:bookmarkStart w:id="65" w:name="_Toc34836180"/>
      <w:bookmarkStart w:id="66" w:name="_Toc116304526"/>
      <w:r w:rsidRPr="00DF679D">
        <w:rPr>
          <w:rFonts w:cs="Calibri Light"/>
        </w:rPr>
        <w:t xml:space="preserve">Część </w:t>
      </w:r>
      <w:r w:rsidR="00C24561" w:rsidRPr="00DF679D">
        <w:rPr>
          <w:rFonts w:cs="Calibri Light"/>
        </w:rPr>
        <w:t>4</w:t>
      </w:r>
      <w:r w:rsidRPr="00DF679D">
        <w:rPr>
          <w:rFonts w:cs="Calibri Light"/>
        </w:rPr>
        <w:t>. Działalność analityczna</w:t>
      </w:r>
      <w:bookmarkEnd w:id="64"/>
      <w:bookmarkEnd w:id="65"/>
      <w:bookmarkEnd w:id="66"/>
    </w:p>
    <w:p w:rsidR="0076523D" w:rsidRDefault="0076523D" w:rsidP="008004CF">
      <w:pPr>
        <w:pStyle w:val="Nagwek2"/>
        <w:numPr>
          <w:ilvl w:val="0"/>
          <w:numId w:val="5"/>
        </w:numPr>
        <w:spacing w:before="240"/>
        <w:ind w:left="714" w:hanging="357"/>
        <w:rPr>
          <w:rFonts w:cs="Calibri Light"/>
        </w:rPr>
      </w:pPr>
      <w:bookmarkStart w:id="67" w:name="_Toc32571608"/>
      <w:bookmarkStart w:id="68" w:name="_Toc34836181"/>
      <w:bookmarkStart w:id="69" w:name="_Toc116304527"/>
      <w:r w:rsidRPr="00DF679D">
        <w:rPr>
          <w:rFonts w:cs="Calibri Light"/>
        </w:rPr>
        <w:t>Zakres i cel analiz</w:t>
      </w:r>
      <w:bookmarkEnd w:id="67"/>
      <w:bookmarkEnd w:id="68"/>
      <w:bookmarkEnd w:id="69"/>
    </w:p>
    <w:p w:rsidR="00C90AB5" w:rsidRDefault="00C90AB5" w:rsidP="001A0FAA">
      <w:pPr>
        <w:spacing w:after="120"/>
        <w:rPr>
          <w:lang w:eastAsia="en-US"/>
        </w:rPr>
      </w:pPr>
      <w:r w:rsidRPr="001159EA">
        <w:rPr>
          <w:lang w:eastAsia="en-US"/>
        </w:rPr>
        <w:t xml:space="preserve">Na podstawie dostępnych informacji o bankach i kasach Fundusz przygotowywał analizy sytuacji ekonomiczno-finansowej sektora bankowego i poszczególnych banków oraz sektora kas i poszczególnych kas, wskazując na obszary powstawania zagrożeń. </w:t>
      </w:r>
    </w:p>
    <w:p w:rsidR="00C90AB5" w:rsidRPr="001159EA" w:rsidRDefault="00C90AB5" w:rsidP="00C90AB5">
      <w:pPr>
        <w:spacing w:after="120"/>
        <w:rPr>
          <w:lang w:eastAsia="en-US"/>
        </w:rPr>
      </w:pPr>
      <w:r w:rsidRPr="001159EA">
        <w:rPr>
          <w:lang w:eastAsia="en-US"/>
        </w:rPr>
        <w:t>Na comiesięcznych posiedzeniach Komitetu ds. Systemu Wczesnego Ostrzegania omawiano m.in.:</w:t>
      </w:r>
    </w:p>
    <w:p w:rsidR="00C90AB5" w:rsidRPr="00B70C87" w:rsidRDefault="00C90AB5" w:rsidP="008004CF">
      <w:pPr>
        <w:widowControl w:val="0"/>
        <w:numPr>
          <w:ilvl w:val="0"/>
          <w:numId w:val="19"/>
        </w:numPr>
        <w:spacing w:after="0"/>
        <w:ind w:left="714" w:hanging="357"/>
        <w:rPr>
          <w:rFonts w:eastAsia="Palatino Linotype" w:cs="Calibri Light"/>
          <w:lang w:eastAsia="en-US"/>
        </w:rPr>
      </w:pPr>
      <w:r w:rsidRPr="00B70C87">
        <w:rPr>
          <w:rFonts w:eastAsia="Palatino Linotype" w:cs="Calibri Light"/>
        </w:rPr>
        <w:t xml:space="preserve">aktualne </w:t>
      </w:r>
      <w:r w:rsidRPr="00B70C87">
        <w:rPr>
          <w:rFonts w:eastAsia="Palatino Linotype" w:cs="Calibri Light"/>
          <w:lang w:eastAsia="en-US"/>
        </w:rPr>
        <w:t xml:space="preserve">informacje o wybranych podmiotach, w tym m.in.: oceny BION, wyniki inspekcji UKNF i audytów IPS, stan realizacji działań naprawczych oraz inne informacje, </w:t>
      </w:r>
      <w:r>
        <w:rPr>
          <w:rFonts w:eastAsia="Palatino Linotype" w:cs="Calibri Light"/>
          <w:lang w:eastAsia="en-US"/>
        </w:rPr>
        <w:t>jak</w:t>
      </w:r>
      <w:r w:rsidRPr="00B70C87">
        <w:rPr>
          <w:rFonts w:eastAsia="Palatino Linotype" w:cs="Calibri Light"/>
          <w:lang w:eastAsia="en-US"/>
        </w:rPr>
        <w:t xml:space="preserve"> dostępne publicznie raporty i sprawozdania </w:t>
      </w:r>
      <w:r>
        <w:rPr>
          <w:rFonts w:eastAsia="Palatino Linotype" w:cs="Calibri Light"/>
          <w:lang w:eastAsia="en-US"/>
        </w:rPr>
        <w:t>oraz informacje przekazywane przez UKNF,</w:t>
      </w:r>
    </w:p>
    <w:p w:rsidR="00C90AB5" w:rsidRPr="000557A7" w:rsidRDefault="00C90AB5" w:rsidP="008004CF">
      <w:pPr>
        <w:widowControl w:val="0"/>
        <w:numPr>
          <w:ilvl w:val="0"/>
          <w:numId w:val="19"/>
        </w:numPr>
        <w:spacing w:after="0"/>
        <w:ind w:left="714" w:hanging="357"/>
        <w:rPr>
          <w:rFonts w:eastAsia="Palatino Linotype" w:cs="Calibri Light"/>
          <w:lang w:eastAsia="en-US"/>
        </w:rPr>
      </w:pPr>
      <w:r w:rsidRPr="000557A7">
        <w:rPr>
          <w:rFonts w:eastAsia="Palatino Linotype" w:cs="Calibri Light"/>
          <w:lang w:eastAsia="en-US"/>
        </w:rPr>
        <w:t xml:space="preserve">weryfikację listy obserwacyjnej i listy banków o podwyższonym ryzyku z uwzględnieniem danych ilościowych </w:t>
      </w:r>
      <w:r w:rsidRPr="00D375AE">
        <w:rPr>
          <w:rFonts w:eastAsia="Palatino Linotype" w:cs="Calibri Light"/>
          <w:lang w:eastAsia="en-US"/>
        </w:rPr>
        <w:t xml:space="preserve">według stanu na 30 czerwca 2022 r. </w:t>
      </w:r>
      <w:r w:rsidRPr="000557A7">
        <w:rPr>
          <w:rFonts w:eastAsia="Palatino Linotype" w:cs="Calibri Light"/>
          <w:lang w:eastAsia="en-US"/>
        </w:rPr>
        <w:t>oraz z wykorzystaniem bieżących informacji pozasprawozdawczych</w:t>
      </w:r>
      <w:r>
        <w:rPr>
          <w:rFonts w:eastAsia="Palatino Linotype" w:cs="Calibri Light"/>
          <w:lang w:eastAsia="en-US"/>
        </w:rPr>
        <w:t>,</w:t>
      </w:r>
    </w:p>
    <w:p w:rsidR="00C90AB5" w:rsidRPr="000557A7" w:rsidRDefault="00C90AB5" w:rsidP="008004CF">
      <w:pPr>
        <w:widowControl w:val="0"/>
        <w:numPr>
          <w:ilvl w:val="0"/>
          <w:numId w:val="19"/>
        </w:numPr>
        <w:spacing w:after="0"/>
        <w:ind w:left="714" w:hanging="357"/>
        <w:rPr>
          <w:rFonts w:eastAsia="Palatino Linotype" w:cs="Calibri Light"/>
          <w:lang w:eastAsia="en-US"/>
        </w:rPr>
      </w:pPr>
      <w:r w:rsidRPr="000557A7">
        <w:rPr>
          <w:rFonts w:eastAsia="Palatino Linotype" w:cs="Calibri Light"/>
          <w:lang w:eastAsia="en-US"/>
        </w:rPr>
        <w:t>wyniki przeglądu banków komercyjnych, banków spółdzielczych i kas ze szczególnym uwzględnieniem</w:t>
      </w:r>
      <w:r w:rsidRPr="000557A7">
        <w:rPr>
          <w:rFonts w:eastAsia="Palatino Linotype" w:cs="Calibri Light"/>
        </w:rPr>
        <w:t xml:space="preserve"> banków i kas o złej i pogarszającej się sytuacji ekonomiczno-finansowej, w tym </w:t>
      </w:r>
      <w:r w:rsidRPr="000557A7">
        <w:rPr>
          <w:rFonts w:eastAsia="Palatino Linotype" w:cs="Calibri Light"/>
          <w:lang w:eastAsia="en-US"/>
        </w:rPr>
        <w:t>podmiotów umieszczonych na listach obserwacyjnych</w:t>
      </w:r>
      <w:r>
        <w:rPr>
          <w:rFonts w:eastAsia="Palatino Linotype" w:cs="Calibri Light"/>
          <w:lang w:eastAsia="en-US"/>
        </w:rPr>
        <w:t>,</w:t>
      </w:r>
    </w:p>
    <w:p w:rsidR="00C90AB5" w:rsidRPr="00D375AE" w:rsidRDefault="00C90AB5" w:rsidP="008004CF">
      <w:pPr>
        <w:widowControl w:val="0"/>
        <w:numPr>
          <w:ilvl w:val="0"/>
          <w:numId w:val="19"/>
        </w:numPr>
        <w:spacing w:after="0"/>
        <w:ind w:left="714" w:hanging="357"/>
        <w:rPr>
          <w:rFonts w:eastAsia="Palatino Linotype" w:cs="Calibri Light"/>
          <w:lang w:eastAsia="en-US"/>
        </w:rPr>
      </w:pPr>
      <w:r w:rsidRPr="00D375AE">
        <w:rPr>
          <w:rFonts w:eastAsia="Palatino Linotype" w:cs="Calibri Light"/>
          <w:lang w:eastAsia="en-US"/>
        </w:rPr>
        <w:t>sytuację ekonomiczno-finansową wybranych banków komercyjnych i spółdzielczych oraz kas ocenianych jako podmioty o podwyższonym ryzyku,</w:t>
      </w:r>
    </w:p>
    <w:p w:rsidR="00C90AB5" w:rsidRPr="00D375AE" w:rsidRDefault="00C90AB5" w:rsidP="008004CF">
      <w:pPr>
        <w:widowControl w:val="0"/>
        <w:numPr>
          <w:ilvl w:val="0"/>
          <w:numId w:val="19"/>
        </w:numPr>
        <w:spacing w:after="0"/>
        <w:ind w:left="714" w:hanging="357"/>
        <w:rPr>
          <w:rFonts w:eastAsia="Palatino Linotype" w:cs="Calibri Light"/>
          <w:lang w:eastAsia="en-US"/>
        </w:rPr>
      </w:pPr>
      <w:r w:rsidRPr="00D375AE">
        <w:rPr>
          <w:rFonts w:eastAsia="Palatino Linotype" w:cs="Calibri Light"/>
          <w:lang w:eastAsia="en-US"/>
        </w:rPr>
        <w:t>sytuację ekonomiczno-finansową wybranych banków komercyjnych, których dominującym akcjonariuszem jest podmiot zagraniczny,</w:t>
      </w:r>
    </w:p>
    <w:p w:rsidR="00C90AB5" w:rsidRPr="00D375AE" w:rsidRDefault="00C90AB5" w:rsidP="008004CF">
      <w:pPr>
        <w:widowControl w:val="0"/>
        <w:numPr>
          <w:ilvl w:val="0"/>
          <w:numId w:val="19"/>
        </w:numPr>
        <w:spacing w:after="0"/>
        <w:ind w:left="714" w:hanging="357"/>
        <w:rPr>
          <w:rFonts w:eastAsia="Palatino Linotype" w:cs="Calibri Light"/>
          <w:lang w:eastAsia="en-US"/>
        </w:rPr>
      </w:pPr>
      <w:r w:rsidRPr="00D375AE">
        <w:rPr>
          <w:rFonts w:eastAsia="Palatino Linotype" w:cs="Calibri Light"/>
          <w:lang w:eastAsia="en-US"/>
        </w:rPr>
        <w:t>zmiany w strukturze bilansów oraz wynikach banków komercyjnych, w tym 10 banków największych pod względem sumy bilansowej, na podstawie danych SIS NBP oraz sprawozdań finansowych banków komercyjnych za II kwartał 2022 r.,</w:t>
      </w:r>
    </w:p>
    <w:p w:rsidR="00C90AB5" w:rsidRPr="00D375AE" w:rsidRDefault="00C90AB5" w:rsidP="008004CF">
      <w:pPr>
        <w:widowControl w:val="0"/>
        <w:numPr>
          <w:ilvl w:val="0"/>
          <w:numId w:val="19"/>
        </w:numPr>
        <w:spacing w:after="0"/>
        <w:ind w:left="714" w:hanging="357"/>
        <w:rPr>
          <w:rFonts w:eastAsia="Palatino Linotype" w:cs="Calibri Light"/>
          <w:lang w:eastAsia="en-US"/>
        </w:rPr>
      </w:pPr>
      <w:r w:rsidRPr="00D375AE">
        <w:rPr>
          <w:rFonts w:eastAsia="Palatino Linotype" w:cs="Calibri Light"/>
          <w:lang w:eastAsia="en-US"/>
        </w:rPr>
        <w:t>czynniki wpływające na tempo wzrostu środków gwarantowanych,</w:t>
      </w:r>
    </w:p>
    <w:p w:rsidR="00C90AB5" w:rsidRPr="00D375AE" w:rsidRDefault="00C90AB5" w:rsidP="008004CF">
      <w:pPr>
        <w:widowControl w:val="0"/>
        <w:numPr>
          <w:ilvl w:val="0"/>
          <w:numId w:val="19"/>
        </w:numPr>
        <w:spacing w:after="0"/>
        <w:ind w:left="714" w:hanging="357"/>
        <w:rPr>
          <w:rFonts w:eastAsia="Palatino Linotype" w:cs="Calibri Light"/>
          <w:lang w:eastAsia="en-US"/>
        </w:rPr>
      </w:pPr>
      <w:r w:rsidRPr="00D375AE">
        <w:rPr>
          <w:rFonts w:eastAsia="Palatino Linotype" w:cs="Calibri Light"/>
          <w:lang w:eastAsia="en-US"/>
        </w:rPr>
        <w:t>informację</w:t>
      </w:r>
      <w:r w:rsidRPr="00C36A51">
        <w:rPr>
          <w:rFonts w:cs="Calibri Light"/>
          <w:lang w:eastAsia="en-US"/>
        </w:rPr>
        <w:t xml:space="preserve"> nt. kredytów mieszkaniowych dla osób prywatnych w PLN w sektorze banków </w:t>
      </w:r>
      <w:r w:rsidRPr="00D375AE">
        <w:rPr>
          <w:rFonts w:eastAsia="Palatino Linotype" w:cs="Calibri Light"/>
          <w:lang w:eastAsia="en-US"/>
        </w:rPr>
        <w:t>spółdzielczych na tle banków komercyjnych,</w:t>
      </w:r>
    </w:p>
    <w:p w:rsidR="00C90AB5" w:rsidRPr="00D375AE" w:rsidRDefault="00C90AB5" w:rsidP="008004CF">
      <w:pPr>
        <w:widowControl w:val="0"/>
        <w:numPr>
          <w:ilvl w:val="0"/>
          <w:numId w:val="19"/>
        </w:numPr>
        <w:spacing w:after="0"/>
        <w:ind w:left="714" w:hanging="357"/>
        <w:rPr>
          <w:rFonts w:eastAsia="Palatino Linotype" w:cs="Calibri Light"/>
          <w:lang w:eastAsia="en-US"/>
        </w:rPr>
      </w:pPr>
      <w:r w:rsidRPr="00D375AE">
        <w:rPr>
          <w:rFonts w:eastAsia="Palatino Linotype" w:cs="Calibri Light"/>
          <w:lang w:eastAsia="en-US"/>
        </w:rPr>
        <w:t>wpływ zdarzeń jednorazowych na sytuację finansową banków komercyjnych,</w:t>
      </w:r>
    </w:p>
    <w:p w:rsidR="00C90AB5" w:rsidRPr="00D375AE" w:rsidRDefault="00C90AB5" w:rsidP="008004CF">
      <w:pPr>
        <w:widowControl w:val="0"/>
        <w:numPr>
          <w:ilvl w:val="0"/>
          <w:numId w:val="19"/>
        </w:numPr>
        <w:spacing w:after="0"/>
        <w:ind w:left="714" w:hanging="357"/>
        <w:rPr>
          <w:rFonts w:eastAsia="Palatino Linotype" w:cs="Calibri Light"/>
          <w:lang w:eastAsia="en-US"/>
        </w:rPr>
      </w:pPr>
      <w:r w:rsidRPr="00D375AE">
        <w:rPr>
          <w:rFonts w:eastAsia="Palatino Linotype" w:cs="Calibri Light"/>
          <w:lang w:eastAsia="en-US"/>
        </w:rPr>
        <w:t>wyniki przeglądu opinii biegłych rewidentów do sprawozdań finansowych za 2021 r.,</w:t>
      </w:r>
    </w:p>
    <w:p w:rsidR="00C90AB5" w:rsidRPr="000557A7" w:rsidRDefault="00C90AB5" w:rsidP="008004CF">
      <w:pPr>
        <w:widowControl w:val="0"/>
        <w:numPr>
          <w:ilvl w:val="0"/>
          <w:numId w:val="19"/>
        </w:numPr>
        <w:spacing w:after="0"/>
        <w:ind w:left="714" w:hanging="357"/>
        <w:rPr>
          <w:rFonts w:eastAsia="Palatino Linotype" w:cs="Calibri Light"/>
          <w:lang w:eastAsia="en-US"/>
        </w:rPr>
      </w:pPr>
      <w:r w:rsidRPr="000557A7">
        <w:rPr>
          <w:rFonts w:eastAsia="Palatino Linotype" w:cs="Calibri Light"/>
          <w:lang w:eastAsia="en-US"/>
        </w:rPr>
        <w:t>bieżącą sytuację w sektorze bankowym</w:t>
      </w:r>
      <w:r>
        <w:rPr>
          <w:rFonts w:eastAsia="Palatino Linotype" w:cs="Calibri Light"/>
          <w:lang w:eastAsia="en-US"/>
        </w:rPr>
        <w:t>,</w:t>
      </w:r>
    </w:p>
    <w:p w:rsidR="00C90AB5" w:rsidRPr="000557A7" w:rsidRDefault="00C90AB5" w:rsidP="008004CF">
      <w:pPr>
        <w:widowControl w:val="0"/>
        <w:numPr>
          <w:ilvl w:val="0"/>
          <w:numId w:val="19"/>
        </w:numPr>
        <w:spacing w:after="120"/>
        <w:ind w:left="714" w:hanging="357"/>
        <w:rPr>
          <w:rFonts w:eastAsia="Palatino Linotype" w:cs="Calibri Light"/>
        </w:rPr>
      </w:pPr>
      <w:r w:rsidRPr="000557A7">
        <w:rPr>
          <w:rFonts w:eastAsia="Palatino Linotype" w:cs="Calibri Light"/>
          <w:lang w:eastAsia="en-US"/>
        </w:rPr>
        <w:t>bieżącą sytuację w sektorze SKOK z wyszczególnieniem sytuacji największej z kas oraz ogólne</w:t>
      </w:r>
      <w:r w:rsidRPr="000557A7">
        <w:rPr>
          <w:rFonts w:eastAsia="Palatino Linotype" w:cs="Calibri Light"/>
        </w:rPr>
        <w:t xml:space="preserve"> informacje dot. bilansu i rachunku wyników Kasy Krajowej.</w:t>
      </w:r>
    </w:p>
    <w:p w:rsidR="00C90AB5" w:rsidRPr="00C90AB5" w:rsidRDefault="00C90AB5" w:rsidP="00C90AB5">
      <w:r w:rsidRPr="00D45ADD">
        <w:rPr>
          <w:rFonts w:eastAsia="Palatino Linotype" w:cs="Calibri Light"/>
          <w:lang w:eastAsia="en-US"/>
        </w:rPr>
        <w:t>Inne prace obejmowały m.in. comiesięczne obliczanie i monitorowanie wskaźnika zabezpieczenia środków gwarantowanych w bankach i kasach dostępnymi zasobami finansowymi oraz stopnia osiągnięcia minimalnych i docelowych poziomów środków na finansowanie systemu gwarantowania depozytów i przymusowej restrukturyzacji.</w:t>
      </w:r>
    </w:p>
    <w:p w:rsidR="0076523D" w:rsidRPr="00DF679D" w:rsidRDefault="0076523D" w:rsidP="008004CF">
      <w:pPr>
        <w:pStyle w:val="Nagwek2"/>
        <w:numPr>
          <w:ilvl w:val="0"/>
          <w:numId w:val="5"/>
        </w:numPr>
        <w:spacing w:before="240"/>
        <w:ind w:left="714" w:hanging="357"/>
        <w:rPr>
          <w:rFonts w:cs="Calibri Light"/>
        </w:rPr>
      </w:pPr>
      <w:bookmarkStart w:id="70" w:name="_Toc533166918"/>
      <w:bookmarkStart w:id="71" w:name="_Toc32571609"/>
      <w:bookmarkStart w:id="72" w:name="_Toc34836182"/>
      <w:bookmarkStart w:id="73" w:name="_Toc116304528"/>
      <w:r w:rsidRPr="00DF679D">
        <w:rPr>
          <w:rFonts w:cs="Calibri Light"/>
        </w:rPr>
        <w:t>Wyznaczanie składek na system gwarantowania depozytów i przymusową restrukturyzację</w:t>
      </w:r>
      <w:bookmarkEnd w:id="70"/>
      <w:bookmarkEnd w:id="71"/>
      <w:bookmarkEnd w:id="72"/>
      <w:bookmarkEnd w:id="73"/>
    </w:p>
    <w:p w:rsidR="00D375AE" w:rsidRPr="00847E08" w:rsidRDefault="00D375AE" w:rsidP="001A0FAA">
      <w:pPr>
        <w:spacing w:after="120"/>
        <w:rPr>
          <w:lang w:eastAsia="en-US"/>
        </w:rPr>
      </w:pPr>
      <w:r w:rsidRPr="00847E08">
        <w:rPr>
          <w:lang w:eastAsia="en-US"/>
        </w:rPr>
        <w:t>W okresie sprawozdawczym, w oparciu o łączną kwotę składek ustaloną przez Radę Funduszu na 202</w:t>
      </w:r>
      <w:r>
        <w:rPr>
          <w:lang w:eastAsia="en-US"/>
        </w:rPr>
        <w:t>2</w:t>
      </w:r>
      <w:r w:rsidRPr="00847E08">
        <w:rPr>
          <w:lang w:eastAsia="en-US"/>
        </w:rPr>
        <w:t xml:space="preserve"> r., zostały wyznaczone składki wnoszone przez poszczególne </w:t>
      </w:r>
      <w:r>
        <w:rPr>
          <w:lang w:eastAsia="en-US"/>
        </w:rPr>
        <w:t xml:space="preserve">kasy </w:t>
      </w:r>
      <w:r w:rsidRPr="00847E08">
        <w:rPr>
          <w:lang w:eastAsia="en-US"/>
        </w:rPr>
        <w:t>n</w:t>
      </w:r>
      <w:r>
        <w:rPr>
          <w:lang w:eastAsia="en-US"/>
        </w:rPr>
        <w:t>a fundusz gwarancyjny </w:t>
      </w:r>
      <w:r w:rsidRPr="00847E08">
        <w:rPr>
          <w:lang w:eastAsia="en-US"/>
        </w:rPr>
        <w:t>kas za II</w:t>
      </w:r>
      <w:r>
        <w:rPr>
          <w:lang w:eastAsia="en-US"/>
        </w:rPr>
        <w:t>I</w:t>
      </w:r>
      <w:r w:rsidRPr="00847E08">
        <w:rPr>
          <w:lang w:eastAsia="en-US"/>
        </w:rPr>
        <w:t xml:space="preserve"> kwartał 202</w:t>
      </w:r>
      <w:r>
        <w:rPr>
          <w:lang w:eastAsia="en-US"/>
        </w:rPr>
        <w:t>2</w:t>
      </w:r>
      <w:r w:rsidRPr="00847E08">
        <w:rPr>
          <w:lang w:eastAsia="en-US"/>
        </w:rPr>
        <w:t xml:space="preserve"> r. Decyzj</w:t>
      </w:r>
      <w:r>
        <w:rPr>
          <w:lang w:eastAsia="en-US"/>
        </w:rPr>
        <w:t>ę</w:t>
      </w:r>
      <w:r w:rsidRPr="00847E08">
        <w:rPr>
          <w:lang w:eastAsia="en-US"/>
        </w:rPr>
        <w:t xml:space="preserve"> w sprawie określenia wysokości składek należnych od poszczególnych </w:t>
      </w:r>
      <w:r>
        <w:rPr>
          <w:lang w:eastAsia="en-US"/>
        </w:rPr>
        <w:t>kas</w:t>
      </w:r>
      <w:r w:rsidRPr="00847E08">
        <w:rPr>
          <w:lang w:eastAsia="en-US"/>
        </w:rPr>
        <w:t xml:space="preserve"> podjęła Rada w formie uchwał</w:t>
      </w:r>
      <w:r>
        <w:rPr>
          <w:lang w:eastAsia="en-US"/>
        </w:rPr>
        <w:t>y</w:t>
      </w:r>
      <w:r w:rsidRPr="00847E08">
        <w:rPr>
          <w:lang w:eastAsia="en-US"/>
        </w:rPr>
        <w:t xml:space="preserve">. </w:t>
      </w:r>
    </w:p>
    <w:p w:rsidR="00D375AE" w:rsidRDefault="00D375AE" w:rsidP="001A0FAA">
      <w:pPr>
        <w:spacing w:after="120"/>
        <w:rPr>
          <w:lang w:eastAsia="en-US"/>
        </w:rPr>
      </w:pPr>
      <w:r>
        <w:rPr>
          <w:lang w:eastAsia="en-US"/>
        </w:rPr>
        <w:t xml:space="preserve">Na podstawie art. 34 ust. 1 </w:t>
      </w:r>
      <w:r w:rsidRPr="001A0FAA">
        <w:rPr>
          <w:i/>
          <w:lang w:eastAsia="en-US"/>
        </w:rPr>
        <w:t>ustawy z dnia 7 kwietnia 2022 r. o zmianie ustawy o listach zastawnych i bankach hipotecznych oraz niektórych innych ustaw</w:t>
      </w:r>
      <w:r>
        <w:rPr>
          <w:lang w:eastAsia="en-US"/>
        </w:rPr>
        <w:t xml:space="preserve"> (Dz. U. poz. 872, „ustawa zmieniająca ustawę o listach zastawnych”), do 31 października 2022 r. został zawieszony obowiązek wniesienia należnych za rok 2022 składek na obowiązkowy system gwarantowania depozytów wnoszonych przez banki i oddziały banków zagranicznych, które nie zostały wniesione przed dniem wejścia w życie tego przepisu, tj. do 7 maja 2022 r.</w:t>
      </w:r>
    </w:p>
    <w:p w:rsidR="00D375AE" w:rsidRDefault="00D375AE" w:rsidP="00D375AE">
      <w:pPr>
        <w:spacing w:after="120"/>
        <w:rPr>
          <w:lang w:eastAsia="en-US"/>
        </w:rPr>
      </w:pPr>
      <w:r>
        <w:rPr>
          <w:lang w:eastAsia="en-US"/>
        </w:rPr>
        <w:t>W związku z powyższym, Fundusz nie określił wysokości składek na obowiązkowy system gwarantowania depozytów wnoszonych przez banki i oddziały banków zagranicznych należnych za III kwartał 2022 r.</w:t>
      </w:r>
    </w:p>
    <w:p w:rsidR="00D375AE" w:rsidRPr="00847E08" w:rsidRDefault="00D375AE" w:rsidP="00D375AE">
      <w:pPr>
        <w:spacing w:after="120"/>
        <w:rPr>
          <w:lang w:eastAsia="en-US"/>
        </w:rPr>
      </w:pPr>
      <w:r w:rsidRPr="00847E08">
        <w:rPr>
          <w:lang w:eastAsia="en-US"/>
        </w:rPr>
        <w:t>Przy wyliczaniu skł</w:t>
      </w:r>
      <w:r>
        <w:rPr>
          <w:lang w:eastAsia="en-US"/>
        </w:rPr>
        <w:t>adek</w:t>
      </w:r>
      <w:r w:rsidRPr="00847E08">
        <w:rPr>
          <w:lang w:eastAsia="en-US"/>
        </w:rPr>
        <w:t xml:space="preserve"> na fundusz gwarancyjny kas za II</w:t>
      </w:r>
      <w:r>
        <w:rPr>
          <w:lang w:eastAsia="en-US"/>
        </w:rPr>
        <w:t>I</w:t>
      </w:r>
      <w:r w:rsidRPr="00847E08">
        <w:rPr>
          <w:lang w:eastAsia="en-US"/>
        </w:rPr>
        <w:t xml:space="preserve"> kwartał 202</w:t>
      </w:r>
      <w:r>
        <w:rPr>
          <w:lang w:eastAsia="en-US"/>
        </w:rPr>
        <w:t>2 </w:t>
      </w:r>
      <w:r w:rsidRPr="00847E08">
        <w:rPr>
          <w:lang w:eastAsia="en-US"/>
        </w:rPr>
        <w:t>r. korekta nie b</w:t>
      </w:r>
      <w:r>
        <w:rPr>
          <w:lang w:eastAsia="en-US"/>
        </w:rPr>
        <w:t>yła konieczna, ponieważ żadna z </w:t>
      </w:r>
      <w:r w:rsidRPr="00847E08">
        <w:rPr>
          <w:lang w:eastAsia="en-US"/>
        </w:rPr>
        <w:t>kas nie skorygowała danych przekazanych wcześniej do Funduszu.</w:t>
      </w:r>
    </w:p>
    <w:p w:rsidR="00D375AE" w:rsidRPr="00FA113E" w:rsidRDefault="00D375AE" w:rsidP="00D375AE">
      <w:pPr>
        <w:spacing w:after="120"/>
        <w:rPr>
          <w:lang w:eastAsia="en-US"/>
        </w:rPr>
      </w:pPr>
      <w:r w:rsidRPr="00FA113E">
        <w:rPr>
          <w:lang w:eastAsia="en-US"/>
        </w:rPr>
        <w:t xml:space="preserve">Do wszystkich </w:t>
      </w:r>
      <w:r>
        <w:rPr>
          <w:lang w:eastAsia="en-US"/>
        </w:rPr>
        <w:t xml:space="preserve">kas </w:t>
      </w:r>
      <w:r w:rsidRPr="00FA113E">
        <w:rPr>
          <w:lang w:eastAsia="en-US"/>
        </w:rPr>
        <w:t>zobowiązanych do wniesienia składki na fundusz gwarancyjn</w:t>
      </w:r>
      <w:r>
        <w:rPr>
          <w:lang w:eastAsia="en-US"/>
        </w:rPr>
        <w:t xml:space="preserve">y </w:t>
      </w:r>
      <w:r w:rsidRPr="00FA113E">
        <w:rPr>
          <w:lang w:eastAsia="en-US"/>
        </w:rPr>
        <w:t xml:space="preserve">kas, wysłano pisma informujące o wysokości należnych składek, terminie ich wniesienia i maksymalnym udziale składek w formie zobowiązań do zapłaty. </w:t>
      </w:r>
    </w:p>
    <w:p w:rsidR="00D375AE" w:rsidRDefault="00D375AE" w:rsidP="00D375AE">
      <w:pPr>
        <w:spacing w:after="120"/>
      </w:pPr>
      <w:r>
        <w:t xml:space="preserve">Rozpoczęto prace w zakresie wprowadzenia zmian </w:t>
      </w:r>
      <w:r w:rsidRPr="00883EFE">
        <w:t>w metodzie wyznaczania składek na fundusz gwaran</w:t>
      </w:r>
      <w:r>
        <w:t>cyjny banków należnych od banków związanych głównie ze zmianami regulacji unijnych, w zakresie wdrożenia wskaźnika NSFR oraz docelowej definicji wskaźnika dźwigni. Dodatkowo podjęto działania związane z rezygnacją ze wskaźnika relacji kredytów walutowych mieszkaniowych gospodarstw domowych do kapitału Tier</w:t>
      </w:r>
      <w:r w:rsidR="001A0FAA">
        <w:t xml:space="preserve"> 1, stosowanie którego wynika z </w:t>
      </w:r>
      <w:r>
        <w:t>rekomendacji KSF-M (</w:t>
      </w:r>
      <w:r w:rsidRPr="001A0FAA">
        <w:rPr>
          <w:i/>
        </w:rPr>
        <w:t>uchwała nr 14/2017 Komitetu Stabilności Finansowej z dnia 13 stycznia 2017 r. w sprawie rekomendacji dotyczącej restrukturyzacji por</w:t>
      </w:r>
      <w:r w:rsidR="001A0FAA" w:rsidRPr="001A0FAA">
        <w:rPr>
          <w:i/>
        </w:rPr>
        <w:t>tfela kredytów mieszkaniowych w </w:t>
      </w:r>
      <w:r w:rsidRPr="001A0FAA">
        <w:rPr>
          <w:i/>
        </w:rPr>
        <w:t>walutach obcych</w:t>
      </w:r>
      <w:r>
        <w:t>). W tym celu na posiedzenie SGR w dniu 6 wrześn</w:t>
      </w:r>
      <w:r w:rsidR="001A0FAA">
        <w:t xml:space="preserve">ia 2022 r. przekazano materiał </w:t>
      </w:r>
      <w:r>
        <w:rPr>
          <w:i/>
        </w:rPr>
        <w:t>Propozycja rezygnacji ze wskaźnika kredytów walutowych</w:t>
      </w:r>
      <w:r>
        <w:t xml:space="preserve"> oraz przedstawiono na posiedzeniu KSF-M w dniu 23 września 2022 r. </w:t>
      </w:r>
      <w:r w:rsidRPr="003A1DE9">
        <w:t xml:space="preserve">prezentację pt. </w:t>
      </w:r>
      <w:r w:rsidRPr="003917AC">
        <w:rPr>
          <w:i/>
        </w:rPr>
        <w:t>Propozycja zmian metody wyznaczania składek na fundusz gwarancyjny banków w zakresie rezygnacji ze wskaźnika opartego o walutowe kredyty mieszkaniowe</w:t>
      </w:r>
      <w:r>
        <w:t>.</w:t>
      </w:r>
    </w:p>
    <w:p w:rsidR="00D375AE" w:rsidRDefault="00D375AE" w:rsidP="00D375AE">
      <w:r>
        <w:t xml:space="preserve">Ponadto Fundusz rozpoczął procedurę oceny możliwości obniżenia przez Radę Funduszu, zgodnie z art. 287 ust. 2 i 2a ustawy o BFG, docelowego poziomu środków systemu gwarantowania depozytów w bankach. W ramach realizacji tej procedury BFG wystąpił w dniu 30 sierpnia 2022 r. do </w:t>
      </w:r>
      <w:r w:rsidR="001A0FAA">
        <w:t>SOBK</w:t>
      </w:r>
      <w:r>
        <w:t xml:space="preserve"> z wnioskiem o przedstawienie stanowiska, o którym mowa w art. 287 ust. 2a pkt 4 ustawy o BFG. </w:t>
      </w:r>
    </w:p>
    <w:p w:rsidR="0076523D" w:rsidRPr="00DF679D" w:rsidRDefault="0076523D" w:rsidP="00966A43">
      <w:pPr>
        <w:pStyle w:val="Nagwek1"/>
        <w:spacing w:before="240" w:after="0"/>
        <w:rPr>
          <w:rFonts w:cs="Calibri Light"/>
        </w:rPr>
      </w:pPr>
      <w:bookmarkStart w:id="74" w:name="_Toc32571610"/>
      <w:bookmarkStart w:id="75" w:name="_Toc34836183"/>
      <w:bookmarkStart w:id="76" w:name="_Toc116304529"/>
      <w:r w:rsidRPr="00DF679D">
        <w:rPr>
          <w:rFonts w:cs="Calibri Light"/>
        </w:rPr>
        <w:t xml:space="preserve">Część </w:t>
      </w:r>
      <w:r w:rsidR="00C24561" w:rsidRPr="00DF679D">
        <w:rPr>
          <w:rFonts w:cs="Calibri Light"/>
        </w:rPr>
        <w:t>5</w:t>
      </w:r>
      <w:r w:rsidRPr="00DF679D">
        <w:rPr>
          <w:rFonts w:cs="Calibri Light"/>
        </w:rPr>
        <w:t>. Pozostała działalność Funduszu</w:t>
      </w:r>
      <w:bookmarkEnd w:id="74"/>
      <w:bookmarkEnd w:id="75"/>
      <w:bookmarkEnd w:id="76"/>
    </w:p>
    <w:p w:rsidR="0076523D" w:rsidRDefault="00BB2A5F" w:rsidP="008004CF">
      <w:pPr>
        <w:pStyle w:val="Nagwek2"/>
        <w:numPr>
          <w:ilvl w:val="0"/>
          <w:numId w:val="6"/>
        </w:numPr>
        <w:spacing w:before="240"/>
        <w:ind w:left="714" w:hanging="357"/>
        <w:rPr>
          <w:rFonts w:cs="Calibri Light"/>
        </w:rPr>
      </w:pPr>
      <w:bookmarkStart w:id="77" w:name="_Toc116304530"/>
      <w:r w:rsidRPr="00DF679D">
        <w:rPr>
          <w:rFonts w:cs="Calibri Light"/>
        </w:rPr>
        <w:t>Inwestowanie środków finansowych Funduszu</w:t>
      </w:r>
      <w:bookmarkEnd w:id="77"/>
    </w:p>
    <w:p w:rsidR="000E4A09" w:rsidRPr="00A059EB" w:rsidRDefault="000E4A09" w:rsidP="00F76940">
      <w:pPr>
        <w:spacing w:after="120"/>
        <w:rPr>
          <w:rFonts w:cs="Calibri Light"/>
        </w:rPr>
      </w:pPr>
      <w:bookmarkStart w:id="78" w:name="_Toc439757362"/>
      <w:bookmarkStart w:id="79" w:name="_Toc440008128"/>
      <w:r w:rsidRPr="00A059EB">
        <w:rPr>
          <w:rFonts w:cs="Calibri Light"/>
        </w:rPr>
        <w:t xml:space="preserve">Działalność inwestycyjna BFG w III kw. była realizowana zgodnie z </w:t>
      </w:r>
      <w:r w:rsidRPr="00790918">
        <w:rPr>
          <w:rFonts w:cs="Calibri Light"/>
          <w:i/>
        </w:rPr>
        <w:t>Polityką inwestycyjną na 2022 r.</w:t>
      </w:r>
      <w:r w:rsidRPr="00A059EB">
        <w:rPr>
          <w:rFonts w:cs="Calibri Light"/>
        </w:rPr>
        <w:t>, której głównym celem było zapewnienie środków fin</w:t>
      </w:r>
      <w:r w:rsidR="00790918">
        <w:rPr>
          <w:rFonts w:cs="Calibri Light"/>
        </w:rPr>
        <w:t>ansowych na pokrycie wydatków z </w:t>
      </w:r>
      <w:r w:rsidRPr="00A059EB">
        <w:rPr>
          <w:rFonts w:cs="Calibri Light"/>
        </w:rPr>
        <w:t>tytułu ewentualnych interwencji oraz zabezpieczenie portfela papierów wartościowych Funduszu przed ryzykiem niekorzystnych zmian rentowności na rynku, przy uzyskaniu optymalnej dochodowości. Zgodnie z ustawą o BFG, Fundusz może nabywać papiery wartościowe emitowane, poręczone lub gwarantowane przez Skarb Państwa, NBP oraz rządy lub banki centralne państw członkowskich UE lub Organizacji Współpracy Gospodarczej i Rozwoju (OECD). Ponadto Fundusz może nabywać jednostki uczestnictwa funduszy rynku pieniężnego</w:t>
      </w:r>
      <w:r w:rsidR="00790918">
        <w:rPr>
          <w:rFonts w:cs="Calibri Light"/>
        </w:rPr>
        <w:t xml:space="preserve"> oraz zakładać lokaty w NBP i u </w:t>
      </w:r>
      <w:r w:rsidRPr="00A059EB">
        <w:rPr>
          <w:rFonts w:cs="Calibri Light"/>
        </w:rPr>
        <w:t>Ministra Finansów.</w:t>
      </w:r>
    </w:p>
    <w:p w:rsidR="000E4A09" w:rsidRPr="006025B0" w:rsidRDefault="000E4A09" w:rsidP="00F76940">
      <w:pPr>
        <w:spacing w:after="120"/>
        <w:rPr>
          <w:rFonts w:cs="Calibri Light"/>
        </w:rPr>
      </w:pPr>
      <w:r w:rsidRPr="00A059EB">
        <w:rPr>
          <w:rFonts w:cs="Calibri Light"/>
        </w:rPr>
        <w:t>W III kwartale</w:t>
      </w:r>
      <w:r w:rsidR="00790918">
        <w:rPr>
          <w:rFonts w:cs="Calibri Light"/>
        </w:rPr>
        <w:t xml:space="preserve"> br.</w:t>
      </w:r>
      <w:r w:rsidRPr="00A059EB">
        <w:rPr>
          <w:rFonts w:cs="Calibri Light"/>
        </w:rPr>
        <w:t xml:space="preserve"> realizowano działania na rzecz optymalizacji wolumenu i struktury portfela papierów wartościowych Funduszu głównie w zależności od zmian kondycji finansowej wybranych podmiotów w sektorze banków. W związku z koniecznością zapewnienia odpowiednich zasobów finansowych na ewentualne działania interwencyjne w analizowanym okresie nie realizowano inwestycji w obligacje skarbowe, monitorując i na bieżąco dostosowując </w:t>
      </w:r>
      <w:r w:rsidRPr="006025B0">
        <w:rPr>
          <w:rFonts w:cs="Calibri Light"/>
        </w:rPr>
        <w:t xml:space="preserve">wielkość zabezpieczenia do zmieniających się szacunków dotyczących zapotrzebowania na środki finansowe. Wolne środki finansowe lokowano natomiast w instrumenty krótkoterminowe, tj. w bony pieniężne NBP </w:t>
      </w:r>
      <w:r>
        <w:rPr>
          <w:rFonts w:cs="Calibri Light"/>
        </w:rPr>
        <w:t xml:space="preserve">(do momentu realizacji interwencji pod koniec września br.) </w:t>
      </w:r>
      <w:r w:rsidRPr="006025B0">
        <w:rPr>
          <w:rFonts w:cs="Calibri Light"/>
        </w:rPr>
        <w:t>oraz w ramach transakcji warunkowych typu buy-sell back i lokat w NBP</w:t>
      </w:r>
      <w:r>
        <w:rPr>
          <w:rFonts w:cs="Calibri Light"/>
        </w:rPr>
        <w:t>.</w:t>
      </w:r>
      <w:r w:rsidRPr="006025B0">
        <w:rPr>
          <w:rFonts w:cs="Calibri Light"/>
        </w:rPr>
        <w:t xml:space="preserve"> Warto w tym kontekście podkreślić, że w świetle systematycznie rosnących stó</w:t>
      </w:r>
      <w:r>
        <w:rPr>
          <w:rFonts w:cs="Calibri Light"/>
        </w:rPr>
        <w:t>p procentowych przy wzrastających wskaźnikach inflacyjnych w Polsce</w:t>
      </w:r>
      <w:r w:rsidRPr="006025B0">
        <w:rPr>
          <w:rFonts w:cs="Calibri Light"/>
        </w:rPr>
        <w:t xml:space="preserve">, za atrakcyjne można uznać utrzymywanie bonów pieniężnych NBP w portfelu papierów wartościowych Funduszu, które, stanowiąc łatwo dostępne zabezpieczenie na wspomniane powyżej, ewentualne </w:t>
      </w:r>
      <w:r w:rsidRPr="00761AAC">
        <w:rPr>
          <w:rFonts w:cs="Calibri Light"/>
        </w:rPr>
        <w:t>działania interwencyjne, cechuje szybkie dostosowanie oprocentowania do aktualnego poziomu stóp procentowych, ze względu na bardzo krótkie (7-dniowe) terminy zapadalności. Należy także dodać, że wskutek realizacji polityki inwestycyjnej w kierunku zabezpieczenia portfela papierów wartościowych Funduszu przed ryzykiem wynikającym z rosnącej inflacji i wzrostu dochodowości obligacji, na koniec III kwartału br. instrumenty finansowe oparte na zmiennym oprocentowaniu stanowiły ponad 80% portfela papierów, umożliwiając osiągnięcie istotnych wyników finansowych.</w:t>
      </w:r>
    </w:p>
    <w:p w:rsidR="000E4A09" w:rsidRDefault="000E4A09" w:rsidP="00790918">
      <w:pPr>
        <w:spacing w:after="120"/>
        <w:rPr>
          <w:rFonts w:cs="Calibri Light"/>
        </w:rPr>
      </w:pPr>
      <w:r>
        <w:rPr>
          <w:rFonts w:cs="Calibri Light"/>
        </w:rPr>
        <w:t>Dzięki zgromadzeniu odpowiednich zasobów finansowyc</w:t>
      </w:r>
      <w:r w:rsidR="00790918">
        <w:rPr>
          <w:rFonts w:cs="Calibri Light"/>
        </w:rPr>
        <w:t>h w portfelu krótkoterminowym w </w:t>
      </w:r>
      <w:r>
        <w:rPr>
          <w:rFonts w:cs="Calibri Light"/>
        </w:rPr>
        <w:t>warunkach rosnącego prawdopodobieństwa realizacji działań interwencyjnych w sektorze bankowym, 5 września br. przekazano na rzecz Banku BFG S.A. kwotę w wysokości 700 000,0 tys. zł. Dodatkowo,</w:t>
      </w:r>
      <w:r w:rsidRPr="00AC01DE">
        <w:rPr>
          <w:rFonts w:cs="Calibri Light"/>
        </w:rPr>
        <w:t xml:space="preserve"> </w:t>
      </w:r>
      <w:r>
        <w:rPr>
          <w:rFonts w:cs="Calibri Light"/>
        </w:rPr>
        <w:t>pod koniec września na rachunkach Funduszu z</w:t>
      </w:r>
      <w:r w:rsidR="00790918">
        <w:rPr>
          <w:rFonts w:cs="Calibri Light"/>
        </w:rPr>
        <w:t>abezpieczono środki finansowe w </w:t>
      </w:r>
      <w:r>
        <w:rPr>
          <w:rFonts w:cs="Calibri Light"/>
        </w:rPr>
        <w:t xml:space="preserve">kwocie 6 516 000,0 tys. zł na rzecz instytucji pomostowej z tytułu dotacji, wypłacanej na początku kolejnego kwartału, oraz </w:t>
      </w:r>
      <w:r w:rsidRPr="00761AAC">
        <w:rPr>
          <w:rFonts w:cs="Calibri Light"/>
        </w:rPr>
        <w:t>przeprowadzono odpowiednie operacje w celu zabezpieczenia dodatkowych środków w kwocie do 5 000 000,0 tys. zł</w:t>
      </w:r>
      <w:r>
        <w:rPr>
          <w:rFonts w:cs="Calibri Light"/>
        </w:rPr>
        <w:t xml:space="preserve"> na ewe</w:t>
      </w:r>
      <w:r w:rsidR="00790918">
        <w:rPr>
          <w:rFonts w:cs="Calibri Light"/>
        </w:rPr>
        <w:t>ntualne potrzeby płynnościowe w </w:t>
      </w:r>
      <w:r>
        <w:rPr>
          <w:rFonts w:cs="Calibri Light"/>
        </w:rPr>
        <w:t>związku z realizowanym procesem restrukturyzacji Getin Noble Bank</w:t>
      </w:r>
      <w:r w:rsidR="00790918">
        <w:rPr>
          <w:rFonts w:cs="Calibri Light"/>
        </w:rPr>
        <w:t xml:space="preserve"> S.A</w:t>
      </w:r>
      <w:r w:rsidRPr="00761AAC">
        <w:rPr>
          <w:rFonts w:cs="Calibri Light"/>
        </w:rPr>
        <w:t>. Warto podkreślić, że przedstawione powyżej działania zrealizowano bez konieczności spieniężania obligacji z portfela papierów wartościowych Funduszu w niekorzystnych warunka</w:t>
      </w:r>
      <w:r>
        <w:rPr>
          <w:rFonts w:cs="Calibri Light"/>
        </w:rPr>
        <w:t>ch rynkowych (rosnące wskaźniki inflacyjne</w:t>
      </w:r>
      <w:r w:rsidRPr="00761AAC">
        <w:rPr>
          <w:rFonts w:cs="Calibri Light"/>
        </w:rPr>
        <w:t xml:space="preserve"> oraz wysokie </w:t>
      </w:r>
      <w:r>
        <w:rPr>
          <w:rFonts w:cs="Calibri Light"/>
        </w:rPr>
        <w:t>rentowności</w:t>
      </w:r>
      <w:r w:rsidRPr="00761AAC">
        <w:rPr>
          <w:rFonts w:cs="Calibri Light"/>
        </w:rPr>
        <w:t xml:space="preserve"> obligacji skarbowych).</w:t>
      </w:r>
      <w:r>
        <w:rPr>
          <w:rFonts w:cs="Calibri Light"/>
        </w:rPr>
        <w:t xml:space="preserve"> </w:t>
      </w:r>
    </w:p>
    <w:p w:rsidR="000E4A09" w:rsidRPr="00BF6740" w:rsidRDefault="000E4A09" w:rsidP="005A0BD1">
      <w:pPr>
        <w:spacing w:after="120"/>
        <w:rPr>
          <w:rFonts w:cs="Calibri Light"/>
        </w:rPr>
      </w:pPr>
      <w:r w:rsidRPr="00BF6740">
        <w:rPr>
          <w:rFonts w:cs="Calibri Light"/>
        </w:rPr>
        <w:t>Do najważniejszych wpływów na rachunek BFG w II</w:t>
      </w:r>
      <w:r>
        <w:rPr>
          <w:rFonts w:cs="Calibri Light"/>
        </w:rPr>
        <w:t>I</w:t>
      </w:r>
      <w:r w:rsidRPr="00BF6740">
        <w:rPr>
          <w:rFonts w:cs="Calibri Light"/>
        </w:rPr>
        <w:t xml:space="preserve"> kw</w:t>
      </w:r>
      <w:r w:rsidR="00790918">
        <w:rPr>
          <w:rFonts w:cs="Calibri Light"/>
        </w:rPr>
        <w:t>artale</w:t>
      </w:r>
      <w:r w:rsidRPr="00BF6740">
        <w:rPr>
          <w:rFonts w:cs="Calibri Light"/>
        </w:rPr>
        <w:t xml:space="preserve"> </w:t>
      </w:r>
      <w:r w:rsidR="00790918">
        <w:rPr>
          <w:rFonts w:cs="Calibri Light"/>
        </w:rPr>
        <w:t>2022 r. można zaliczyć środki w </w:t>
      </w:r>
      <w:r w:rsidRPr="00BF6740">
        <w:rPr>
          <w:rFonts w:cs="Calibri Light"/>
        </w:rPr>
        <w:t xml:space="preserve">wysokości: </w:t>
      </w:r>
    </w:p>
    <w:p w:rsidR="000E4A09" w:rsidRPr="00604ECF" w:rsidRDefault="000E4A09" w:rsidP="008004CF">
      <w:pPr>
        <w:numPr>
          <w:ilvl w:val="0"/>
          <w:numId w:val="17"/>
        </w:numPr>
        <w:spacing w:before="120" w:after="120"/>
        <w:ind w:left="714" w:hanging="357"/>
        <w:contextualSpacing/>
        <w:rPr>
          <w:rFonts w:eastAsia="Palatino Linotype" w:cs="Calibri Light"/>
        </w:rPr>
      </w:pPr>
      <w:r w:rsidRPr="00604ECF">
        <w:rPr>
          <w:rFonts w:eastAsia="Palatino Linotype" w:cs="Calibri Light"/>
        </w:rPr>
        <w:t>2 044 200,0 tys. zł – z tytułu wykupu obligacji z serii PP0722,</w:t>
      </w:r>
    </w:p>
    <w:p w:rsidR="000E4A09" w:rsidRPr="00604ECF" w:rsidRDefault="000E4A09" w:rsidP="008004CF">
      <w:pPr>
        <w:numPr>
          <w:ilvl w:val="0"/>
          <w:numId w:val="17"/>
        </w:numPr>
        <w:spacing w:before="120" w:after="120"/>
        <w:ind w:left="714" w:hanging="357"/>
        <w:contextualSpacing/>
        <w:rPr>
          <w:rFonts w:eastAsia="Palatino Linotype" w:cs="Calibri Light"/>
        </w:rPr>
      </w:pPr>
      <w:r w:rsidRPr="00604ECF">
        <w:rPr>
          <w:rFonts w:eastAsia="Palatino Linotype" w:cs="Calibri Light"/>
        </w:rPr>
        <w:t>1 262 176,5 tys. zł – z tytułu składki na fundusz przymusowej restrukturyzacji,</w:t>
      </w:r>
    </w:p>
    <w:p w:rsidR="000E4A09" w:rsidRPr="00604ECF" w:rsidRDefault="000E4A09" w:rsidP="008004CF">
      <w:pPr>
        <w:numPr>
          <w:ilvl w:val="0"/>
          <w:numId w:val="17"/>
        </w:numPr>
        <w:spacing w:before="120" w:after="120"/>
        <w:ind w:left="714" w:hanging="357"/>
        <w:contextualSpacing/>
        <w:rPr>
          <w:rFonts w:eastAsia="Palatino Linotype" w:cs="Calibri Light"/>
        </w:rPr>
      </w:pPr>
      <w:r w:rsidRPr="00604ECF">
        <w:rPr>
          <w:rFonts w:eastAsia="Palatino Linotype" w:cs="Calibri Light"/>
        </w:rPr>
        <w:t>149 398,8 tys. zł – z tytułu wypłaty kuponów,</w:t>
      </w:r>
    </w:p>
    <w:p w:rsidR="000E4A09" w:rsidRPr="00887BA4" w:rsidRDefault="000E4A09" w:rsidP="008004CF">
      <w:pPr>
        <w:numPr>
          <w:ilvl w:val="0"/>
          <w:numId w:val="17"/>
        </w:numPr>
        <w:spacing w:before="120" w:after="120"/>
        <w:ind w:left="714" w:hanging="357"/>
        <w:rPr>
          <w:rFonts w:eastAsia="Palatino Linotype" w:cs="Calibri Light"/>
        </w:rPr>
      </w:pPr>
      <w:r w:rsidRPr="00887BA4">
        <w:rPr>
          <w:rFonts w:eastAsia="Palatino Linotype" w:cs="Calibri Light"/>
        </w:rPr>
        <w:t xml:space="preserve">3 710,1 tys. zł </w:t>
      </w:r>
      <w:r w:rsidR="00F76940">
        <w:rPr>
          <w:rFonts w:eastAsia="Palatino Linotype" w:cs="Calibri Light"/>
        </w:rPr>
        <w:t>–</w:t>
      </w:r>
      <w:r w:rsidRPr="00887BA4">
        <w:rPr>
          <w:rFonts w:eastAsia="Palatino Linotype" w:cs="Calibri Light"/>
        </w:rPr>
        <w:t xml:space="preserve"> z tytułu składki od kas za III kw.</w:t>
      </w:r>
    </w:p>
    <w:p w:rsidR="000E4A09" w:rsidRPr="00BF6740" w:rsidRDefault="000E4A09" w:rsidP="005A0BD1">
      <w:pPr>
        <w:spacing w:after="120"/>
        <w:rPr>
          <w:rFonts w:cs="Calibri Light"/>
        </w:rPr>
      </w:pPr>
      <w:r w:rsidRPr="00BF6740">
        <w:rPr>
          <w:rFonts w:cs="Calibri Light"/>
        </w:rPr>
        <w:t>W okresie sprawozdawczym w obszarze prowadzonej przez Fundusz działalności lo</w:t>
      </w:r>
      <w:r>
        <w:rPr>
          <w:rFonts w:cs="Calibri Light"/>
        </w:rPr>
        <w:t>kacyjnej zrealizowano łącznie 40</w:t>
      </w:r>
      <w:r w:rsidRPr="00BF6740">
        <w:rPr>
          <w:rFonts w:cs="Calibri Light"/>
        </w:rPr>
        <w:t xml:space="preserve"> transakcji, w tym:</w:t>
      </w:r>
    </w:p>
    <w:p w:rsidR="000E4A09" w:rsidRPr="008E50B5" w:rsidRDefault="000E4A09" w:rsidP="008004CF">
      <w:pPr>
        <w:numPr>
          <w:ilvl w:val="0"/>
          <w:numId w:val="17"/>
        </w:numPr>
        <w:spacing w:before="120" w:after="120"/>
        <w:ind w:left="714" w:hanging="357"/>
        <w:contextualSpacing/>
        <w:rPr>
          <w:rFonts w:eastAsia="Palatino Linotype" w:cs="Calibri Light"/>
        </w:rPr>
      </w:pPr>
      <w:r w:rsidRPr="008E50B5">
        <w:rPr>
          <w:rFonts w:eastAsia="Palatino Linotype" w:cs="Calibri Light"/>
        </w:rPr>
        <w:t>13 – zakupu bonów pieniężnych NBP na kwotę 102 138 820,0 tys. zł w ujęciu nominalnym,</w:t>
      </w:r>
    </w:p>
    <w:p w:rsidR="000E4A09" w:rsidRPr="008E50B5" w:rsidRDefault="000E4A09" w:rsidP="008004CF">
      <w:pPr>
        <w:numPr>
          <w:ilvl w:val="0"/>
          <w:numId w:val="17"/>
        </w:numPr>
        <w:spacing w:before="120" w:after="120"/>
        <w:ind w:left="714" w:hanging="357"/>
        <w:contextualSpacing/>
        <w:rPr>
          <w:rFonts w:eastAsia="Palatino Linotype" w:cs="Calibri Light"/>
        </w:rPr>
      </w:pPr>
      <w:r w:rsidRPr="008E50B5">
        <w:rPr>
          <w:rFonts w:eastAsia="Palatino Linotype" w:cs="Calibri Light"/>
        </w:rPr>
        <w:t xml:space="preserve">25 – transakcji warunkowych typu buy-sell back o łącznej </w:t>
      </w:r>
      <w:r w:rsidR="00790918">
        <w:rPr>
          <w:rFonts w:eastAsia="Palatino Linotype" w:cs="Calibri Light"/>
        </w:rPr>
        <w:t>wartości nominalnej 4 411 340,0 </w:t>
      </w:r>
      <w:r w:rsidRPr="008E50B5">
        <w:rPr>
          <w:rFonts w:eastAsia="Palatino Linotype" w:cs="Calibri Light"/>
        </w:rPr>
        <w:t>tys. zł,</w:t>
      </w:r>
    </w:p>
    <w:p w:rsidR="000E4A09" w:rsidRPr="008E50B5" w:rsidRDefault="000E4A09" w:rsidP="008004CF">
      <w:pPr>
        <w:numPr>
          <w:ilvl w:val="0"/>
          <w:numId w:val="17"/>
        </w:numPr>
        <w:spacing w:before="120" w:after="120"/>
        <w:ind w:left="714" w:hanging="357"/>
        <w:rPr>
          <w:rFonts w:eastAsia="Palatino Linotype" w:cs="Calibri Light"/>
        </w:rPr>
      </w:pPr>
      <w:r w:rsidRPr="008E50B5">
        <w:rPr>
          <w:rFonts w:eastAsia="Palatino Linotype" w:cs="Calibri Light"/>
        </w:rPr>
        <w:t>2 – transakcje warunkowe typu sell-buy back w kwocie 3 429 000,0 tys. zł w ujęciu nominalnym.</w:t>
      </w:r>
    </w:p>
    <w:p w:rsidR="000E4A09" w:rsidRDefault="000E4A09" w:rsidP="005A0BD1">
      <w:pPr>
        <w:spacing w:after="120"/>
        <w:rPr>
          <w:rFonts w:cs="Calibri Light"/>
        </w:rPr>
      </w:pPr>
      <w:r w:rsidRPr="00B956E9">
        <w:rPr>
          <w:rFonts w:cs="Calibri Light"/>
        </w:rPr>
        <w:t>Na koniec września</w:t>
      </w:r>
      <w:r>
        <w:rPr>
          <w:rFonts w:cs="Calibri Light"/>
        </w:rPr>
        <w:t xml:space="preserve"> 2022</w:t>
      </w:r>
      <w:r w:rsidRPr="00B956E9">
        <w:rPr>
          <w:rFonts w:cs="Calibri Light"/>
        </w:rPr>
        <w:t xml:space="preserve"> r. dochodowość całego portfela papierów w</w:t>
      </w:r>
      <w:r>
        <w:rPr>
          <w:rFonts w:cs="Calibri Light"/>
        </w:rPr>
        <w:t>artościowych Funduszu wyniosła 6,26%, natomiast duracja – 1,09 lat (wobec rentowności 5,31% i duracji na poziomie 0,8</w:t>
      </w:r>
      <w:r w:rsidRPr="00B956E9">
        <w:rPr>
          <w:rFonts w:cs="Calibri Light"/>
        </w:rPr>
        <w:t xml:space="preserve">5 lat na koniec czerwca br.). </w:t>
      </w:r>
      <w:r>
        <w:rPr>
          <w:rFonts w:cs="Calibri Light"/>
        </w:rPr>
        <w:t xml:space="preserve">Warto dodać, że w związku z przedstawionymi powyżej działaniami </w:t>
      </w:r>
      <w:r w:rsidRPr="003B4D3E">
        <w:rPr>
          <w:rFonts w:cs="Calibri Light"/>
        </w:rPr>
        <w:t>interwencyjnymi, na koniec III kw. Fundusz posiadał na rachunku w formie zabezpieczenia płynnościowego środki w kwocie ok. 8 291 000,</w:t>
      </w:r>
      <w:r>
        <w:rPr>
          <w:rFonts w:cs="Calibri Light"/>
        </w:rPr>
        <w:t xml:space="preserve">0 tys. zł. </w:t>
      </w:r>
    </w:p>
    <w:p w:rsidR="000E4A09" w:rsidRPr="00F76940" w:rsidRDefault="000E4A09" w:rsidP="00BA687D">
      <w:pPr>
        <w:widowControl w:val="0"/>
        <w:spacing w:after="60"/>
        <w:ind w:firstLine="0"/>
        <w:rPr>
          <w:rFonts w:eastAsia="Times New Roman" w:cs="Calibri Light"/>
          <w:b/>
          <w:sz w:val="22"/>
          <w:szCs w:val="22"/>
        </w:rPr>
      </w:pPr>
      <w:r w:rsidRPr="00F76940">
        <w:rPr>
          <w:rFonts w:eastAsia="Times New Roman" w:cs="Calibri Light"/>
          <w:b/>
          <w:sz w:val="22"/>
          <w:szCs w:val="22"/>
        </w:rPr>
        <w:t>Tabela 1</w:t>
      </w:r>
      <w:r w:rsidR="000B083B">
        <w:rPr>
          <w:rFonts w:eastAsia="Times New Roman" w:cs="Calibri Light"/>
          <w:b/>
          <w:sz w:val="22"/>
          <w:szCs w:val="22"/>
        </w:rPr>
        <w:t>1</w:t>
      </w:r>
      <w:r w:rsidRPr="00F76940">
        <w:rPr>
          <w:rFonts w:eastAsia="Times New Roman" w:cs="Calibri Light"/>
          <w:b/>
          <w:sz w:val="22"/>
          <w:szCs w:val="22"/>
        </w:rPr>
        <w:t>. Portfel dłużnych papierów wartościowych BFG według stanu na 30</w:t>
      </w:r>
      <w:r w:rsidR="00790918" w:rsidRPr="00F76940">
        <w:rPr>
          <w:rFonts w:eastAsia="Times New Roman" w:cs="Calibri Light"/>
          <w:b/>
          <w:sz w:val="22"/>
          <w:szCs w:val="22"/>
        </w:rPr>
        <w:t xml:space="preserve"> czerwca 2022 r. i </w:t>
      </w:r>
      <w:r w:rsidRPr="00F76940">
        <w:rPr>
          <w:rFonts w:eastAsia="Times New Roman" w:cs="Calibri Light"/>
          <w:b/>
          <w:sz w:val="22"/>
          <w:szCs w:val="22"/>
        </w:rPr>
        <w:t>30</w:t>
      </w:r>
      <w:r w:rsidR="00790918" w:rsidRPr="00F76940">
        <w:rPr>
          <w:rFonts w:eastAsia="Times New Roman" w:cs="Calibri Light"/>
          <w:b/>
          <w:sz w:val="22"/>
          <w:szCs w:val="22"/>
        </w:rPr>
        <w:t xml:space="preserve"> września </w:t>
      </w:r>
      <w:r w:rsidRPr="00F76940">
        <w:rPr>
          <w:rFonts w:eastAsia="Times New Roman" w:cs="Calibri Light"/>
          <w:b/>
          <w:sz w:val="22"/>
          <w:szCs w:val="22"/>
        </w:rPr>
        <w:t>2022 r.</w:t>
      </w:r>
    </w:p>
    <w:tbl>
      <w:tblPr>
        <w:tblW w:w="5000" w:type="pct"/>
        <w:tblLayout w:type="fixed"/>
        <w:tblCellMar>
          <w:left w:w="70" w:type="dxa"/>
          <w:right w:w="70" w:type="dxa"/>
        </w:tblCellMar>
        <w:tblLook w:val="04A0" w:firstRow="1" w:lastRow="0" w:firstColumn="1" w:lastColumn="0" w:noHBand="0" w:noVBand="1"/>
      </w:tblPr>
      <w:tblGrid>
        <w:gridCol w:w="1570"/>
        <w:gridCol w:w="981"/>
        <w:gridCol w:w="782"/>
        <w:gridCol w:w="933"/>
        <w:gridCol w:w="1023"/>
        <w:gridCol w:w="1296"/>
        <w:gridCol w:w="808"/>
        <w:gridCol w:w="933"/>
        <w:gridCol w:w="1023"/>
      </w:tblGrid>
      <w:tr w:rsidR="000E4A09" w:rsidRPr="001658C7" w:rsidTr="000E4A09">
        <w:trPr>
          <w:trHeight w:val="255"/>
        </w:trPr>
        <w:tc>
          <w:tcPr>
            <w:tcW w:w="840" w:type="pct"/>
            <w:tcBorders>
              <w:top w:val="nil"/>
              <w:left w:val="nil"/>
              <w:bottom w:val="nil"/>
              <w:right w:val="nil"/>
            </w:tcBorders>
            <w:shd w:val="clear" w:color="000000" w:fill="FFFFFF"/>
            <w:noWrap/>
            <w:vAlign w:val="center"/>
            <w:hideMark/>
          </w:tcPr>
          <w:p w:rsidR="000E4A09" w:rsidRPr="001658C7" w:rsidRDefault="000E4A09" w:rsidP="000E4A09">
            <w:pPr>
              <w:spacing w:after="0"/>
              <w:ind w:firstLine="0"/>
              <w:jc w:val="center"/>
              <w:rPr>
                <w:rFonts w:eastAsia="Times New Roman" w:cs="Calibri Light"/>
                <w:sz w:val="18"/>
                <w:szCs w:val="20"/>
              </w:rPr>
            </w:pPr>
          </w:p>
        </w:tc>
        <w:tc>
          <w:tcPr>
            <w:tcW w:w="1989" w:type="pct"/>
            <w:gridSpan w:val="4"/>
            <w:tcBorders>
              <w:top w:val="single" w:sz="4" w:space="0" w:color="auto"/>
              <w:left w:val="single" w:sz="4" w:space="0" w:color="auto"/>
              <w:bottom w:val="single" w:sz="4" w:space="0" w:color="auto"/>
              <w:right w:val="single" w:sz="4" w:space="0" w:color="000000"/>
            </w:tcBorders>
            <w:shd w:val="clear" w:color="auto" w:fill="2A5384"/>
            <w:noWrap/>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Pr>
                <w:rFonts w:eastAsia="Times New Roman" w:cs="Calibri Light"/>
                <w:b/>
                <w:color w:val="FFFFFF" w:themeColor="background1"/>
                <w:sz w:val="18"/>
                <w:szCs w:val="20"/>
              </w:rPr>
              <w:t>2022.06.30</w:t>
            </w:r>
          </w:p>
        </w:tc>
        <w:tc>
          <w:tcPr>
            <w:tcW w:w="2171" w:type="pct"/>
            <w:gridSpan w:val="4"/>
            <w:tcBorders>
              <w:top w:val="single" w:sz="4" w:space="0" w:color="auto"/>
              <w:left w:val="nil"/>
              <w:bottom w:val="single" w:sz="4" w:space="0" w:color="auto"/>
              <w:right w:val="single" w:sz="4" w:space="0" w:color="000000"/>
            </w:tcBorders>
            <w:shd w:val="clear" w:color="auto" w:fill="2A5384"/>
            <w:noWrap/>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Pr>
                <w:rFonts w:eastAsia="Times New Roman" w:cs="Calibri Light"/>
                <w:b/>
                <w:color w:val="FFFFFF" w:themeColor="background1"/>
                <w:sz w:val="18"/>
                <w:szCs w:val="20"/>
              </w:rPr>
              <w:t>2022.09.30</w:t>
            </w:r>
          </w:p>
        </w:tc>
      </w:tr>
      <w:tr w:rsidR="000E4A09" w:rsidRPr="001658C7" w:rsidTr="00F76940">
        <w:trPr>
          <w:trHeight w:val="220"/>
        </w:trPr>
        <w:tc>
          <w:tcPr>
            <w:tcW w:w="840" w:type="pct"/>
            <w:vMerge w:val="restart"/>
            <w:tcBorders>
              <w:top w:val="single" w:sz="4" w:space="0" w:color="auto"/>
              <w:left w:val="single" w:sz="4" w:space="0" w:color="auto"/>
              <w:bottom w:val="single" w:sz="4" w:space="0" w:color="auto"/>
              <w:right w:val="single" w:sz="4" w:space="0" w:color="auto"/>
            </w:tcBorders>
            <w:shd w:val="clear" w:color="auto" w:fill="2A5384"/>
            <w:noWrap/>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Rodzaj</w:t>
            </w:r>
          </w:p>
        </w:tc>
        <w:tc>
          <w:tcPr>
            <w:tcW w:w="525"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Nominał</w:t>
            </w:r>
          </w:p>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(tys. zł)</w:t>
            </w:r>
          </w:p>
        </w:tc>
        <w:tc>
          <w:tcPr>
            <w:tcW w:w="418"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Duracja</w:t>
            </w:r>
          </w:p>
        </w:tc>
        <w:tc>
          <w:tcPr>
            <w:tcW w:w="499"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YTM*</w:t>
            </w:r>
          </w:p>
        </w:tc>
        <w:tc>
          <w:tcPr>
            <w:tcW w:w="547"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Udział</w:t>
            </w:r>
          </w:p>
        </w:tc>
        <w:tc>
          <w:tcPr>
            <w:tcW w:w="693"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Nominał</w:t>
            </w:r>
          </w:p>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(tys. zł)</w:t>
            </w:r>
          </w:p>
        </w:tc>
        <w:tc>
          <w:tcPr>
            <w:tcW w:w="432"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Duracja</w:t>
            </w:r>
          </w:p>
        </w:tc>
        <w:tc>
          <w:tcPr>
            <w:tcW w:w="499"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YTM*</w:t>
            </w:r>
          </w:p>
        </w:tc>
        <w:tc>
          <w:tcPr>
            <w:tcW w:w="547" w:type="pct"/>
            <w:vMerge w:val="restart"/>
            <w:tcBorders>
              <w:top w:val="nil"/>
              <w:left w:val="single" w:sz="4" w:space="0" w:color="auto"/>
              <w:bottom w:val="single" w:sz="4" w:space="0" w:color="000000"/>
              <w:right w:val="single" w:sz="4" w:space="0" w:color="auto"/>
            </w:tcBorders>
            <w:shd w:val="clear" w:color="auto" w:fill="2A5384"/>
            <w:vAlign w:val="center"/>
            <w:hideMark/>
          </w:tcPr>
          <w:p w:rsidR="000E4A09" w:rsidRPr="0039206E" w:rsidRDefault="000E4A09" w:rsidP="000E4A09">
            <w:pPr>
              <w:spacing w:after="0"/>
              <w:ind w:firstLine="0"/>
              <w:jc w:val="center"/>
              <w:rPr>
                <w:rFonts w:eastAsia="Times New Roman" w:cs="Calibri Light"/>
                <w:b/>
                <w:color w:val="FFFFFF" w:themeColor="background1"/>
                <w:sz w:val="18"/>
                <w:szCs w:val="20"/>
              </w:rPr>
            </w:pPr>
            <w:r w:rsidRPr="0039206E">
              <w:rPr>
                <w:rFonts w:eastAsia="Times New Roman" w:cs="Calibri Light"/>
                <w:b/>
                <w:color w:val="FFFFFF" w:themeColor="background1"/>
                <w:sz w:val="18"/>
                <w:szCs w:val="20"/>
              </w:rPr>
              <w:t>Udział</w:t>
            </w:r>
          </w:p>
        </w:tc>
      </w:tr>
      <w:tr w:rsidR="000E4A09" w:rsidRPr="001658C7" w:rsidTr="00F76940">
        <w:trPr>
          <w:trHeight w:val="293"/>
        </w:trPr>
        <w:tc>
          <w:tcPr>
            <w:tcW w:w="840" w:type="pct"/>
            <w:vMerge/>
            <w:tcBorders>
              <w:top w:val="single" w:sz="4" w:space="0" w:color="auto"/>
              <w:left w:val="single" w:sz="4" w:space="0" w:color="auto"/>
              <w:bottom w:val="single" w:sz="4" w:space="0" w:color="auto"/>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525"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418"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499"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547"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693"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432"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499"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c>
          <w:tcPr>
            <w:tcW w:w="547" w:type="pct"/>
            <w:vMerge/>
            <w:tcBorders>
              <w:top w:val="nil"/>
              <w:left w:val="single" w:sz="4" w:space="0" w:color="auto"/>
              <w:bottom w:val="single" w:sz="4" w:space="0" w:color="000000"/>
              <w:right w:val="single" w:sz="4" w:space="0" w:color="auto"/>
            </w:tcBorders>
            <w:shd w:val="clear" w:color="auto" w:fill="2A5384"/>
            <w:vAlign w:val="center"/>
            <w:hideMark/>
          </w:tcPr>
          <w:p w:rsidR="000E4A09" w:rsidRPr="001658C7" w:rsidRDefault="000E4A09" w:rsidP="000E4A09">
            <w:pPr>
              <w:spacing w:after="0"/>
              <w:ind w:firstLine="0"/>
              <w:jc w:val="center"/>
              <w:rPr>
                <w:rFonts w:eastAsia="Times New Roman" w:cs="Calibri Light"/>
                <w:sz w:val="18"/>
                <w:szCs w:val="20"/>
              </w:rPr>
            </w:pPr>
          </w:p>
        </w:tc>
      </w:tr>
      <w:tr w:rsidR="000E4A09" w:rsidRPr="001658C7" w:rsidTr="000E4A09">
        <w:trPr>
          <w:trHeight w:val="300"/>
        </w:trPr>
        <w:tc>
          <w:tcPr>
            <w:tcW w:w="840" w:type="pct"/>
            <w:tcBorders>
              <w:top w:val="nil"/>
              <w:left w:val="single" w:sz="4" w:space="0" w:color="auto"/>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0"/>
              <w:jc w:val="left"/>
              <w:rPr>
                <w:rFonts w:eastAsia="Times New Roman" w:cs="Calibri Light"/>
                <w:b/>
                <w:bCs/>
                <w:sz w:val="18"/>
                <w:szCs w:val="20"/>
              </w:rPr>
            </w:pPr>
            <w:r w:rsidRPr="001658C7">
              <w:rPr>
                <w:rFonts w:eastAsia="Times New Roman" w:cs="Calibri Light"/>
                <w:b/>
                <w:bCs/>
                <w:sz w:val="18"/>
                <w:szCs w:val="20"/>
              </w:rPr>
              <w:t>Bony pieniężne NBP</w:t>
            </w:r>
          </w:p>
        </w:tc>
        <w:tc>
          <w:tcPr>
            <w:tcW w:w="525"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0"/>
              <w:jc w:val="right"/>
              <w:rPr>
                <w:rFonts w:cs="Calibri Light"/>
                <w:sz w:val="18"/>
                <w:szCs w:val="18"/>
              </w:rPr>
            </w:pPr>
            <w:r w:rsidRPr="005764A3">
              <w:rPr>
                <w:rFonts w:cs="Calibri Light"/>
                <w:sz w:val="18"/>
                <w:szCs w:val="18"/>
              </w:rPr>
              <w:t>5 409 450</w:t>
            </w:r>
          </w:p>
        </w:tc>
        <w:tc>
          <w:tcPr>
            <w:tcW w:w="418"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14"/>
              <w:jc w:val="center"/>
              <w:rPr>
                <w:rFonts w:cs="Calibri Light"/>
                <w:sz w:val="18"/>
                <w:szCs w:val="18"/>
              </w:rPr>
            </w:pPr>
            <w:r w:rsidRPr="005764A3">
              <w:rPr>
                <w:rFonts w:cs="Calibri Light"/>
                <w:sz w:val="18"/>
                <w:szCs w:val="18"/>
              </w:rPr>
              <w:t>0,00</w:t>
            </w:r>
          </w:p>
        </w:tc>
        <w:tc>
          <w:tcPr>
            <w:tcW w:w="499"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0"/>
              <w:jc w:val="center"/>
              <w:rPr>
                <w:rFonts w:cs="Calibri Light"/>
                <w:sz w:val="18"/>
                <w:szCs w:val="18"/>
              </w:rPr>
            </w:pPr>
            <w:r w:rsidRPr="005764A3">
              <w:rPr>
                <w:rFonts w:cs="Calibri Light"/>
                <w:sz w:val="18"/>
                <w:szCs w:val="18"/>
              </w:rPr>
              <w:t>6,00%</w:t>
            </w:r>
          </w:p>
        </w:tc>
        <w:tc>
          <w:tcPr>
            <w:tcW w:w="547"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jc w:val="right"/>
              <w:rPr>
                <w:rFonts w:cs="Calibri Light"/>
                <w:sz w:val="18"/>
                <w:szCs w:val="18"/>
              </w:rPr>
            </w:pPr>
            <w:r w:rsidRPr="005764A3">
              <w:rPr>
                <w:rFonts w:cs="Calibri Light"/>
                <w:sz w:val="18"/>
                <w:szCs w:val="18"/>
              </w:rPr>
              <w:t>21,0%</w:t>
            </w:r>
          </w:p>
        </w:tc>
        <w:tc>
          <w:tcPr>
            <w:tcW w:w="693"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BA687D">
            <w:pPr>
              <w:spacing w:after="0"/>
              <w:ind w:firstLine="0"/>
              <w:jc w:val="center"/>
              <w:rPr>
                <w:rFonts w:cs="Calibri Light"/>
                <w:sz w:val="18"/>
                <w:szCs w:val="18"/>
              </w:rPr>
            </w:pPr>
            <w:r>
              <w:rPr>
                <w:rFonts w:cs="Calibri Light"/>
                <w:sz w:val="18"/>
                <w:szCs w:val="18"/>
              </w:rPr>
              <w:t>---</w:t>
            </w:r>
          </w:p>
        </w:tc>
        <w:tc>
          <w:tcPr>
            <w:tcW w:w="432"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0E4A09">
            <w:pPr>
              <w:spacing w:after="0"/>
              <w:ind w:firstLine="6"/>
              <w:jc w:val="center"/>
              <w:rPr>
                <w:rFonts w:cs="Calibri Light"/>
                <w:sz w:val="18"/>
                <w:szCs w:val="18"/>
              </w:rPr>
            </w:pPr>
            <w:r>
              <w:rPr>
                <w:rFonts w:cs="Calibri Light"/>
                <w:sz w:val="18"/>
                <w:szCs w:val="18"/>
              </w:rPr>
              <w:t>---</w:t>
            </w:r>
          </w:p>
        </w:tc>
        <w:tc>
          <w:tcPr>
            <w:tcW w:w="499"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0E4A09">
            <w:pPr>
              <w:spacing w:after="0"/>
              <w:ind w:firstLine="0"/>
              <w:jc w:val="center"/>
              <w:rPr>
                <w:rFonts w:cs="Calibri Light"/>
                <w:sz w:val="18"/>
                <w:szCs w:val="18"/>
              </w:rPr>
            </w:pPr>
            <w:r>
              <w:rPr>
                <w:rFonts w:cs="Calibri Light"/>
                <w:sz w:val="18"/>
                <w:szCs w:val="18"/>
              </w:rPr>
              <w:t>---</w:t>
            </w:r>
          </w:p>
        </w:tc>
        <w:tc>
          <w:tcPr>
            <w:tcW w:w="547"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BA687D">
            <w:pPr>
              <w:spacing w:after="0"/>
              <w:ind w:firstLine="0"/>
              <w:jc w:val="center"/>
              <w:rPr>
                <w:rFonts w:cs="Calibri Light"/>
                <w:sz w:val="18"/>
                <w:szCs w:val="18"/>
              </w:rPr>
            </w:pPr>
            <w:r>
              <w:rPr>
                <w:rFonts w:cs="Calibri Light"/>
                <w:sz w:val="18"/>
                <w:szCs w:val="18"/>
              </w:rPr>
              <w:t>---</w:t>
            </w:r>
          </w:p>
        </w:tc>
      </w:tr>
      <w:tr w:rsidR="000E4A09" w:rsidRPr="001658C7" w:rsidTr="000E4A09">
        <w:trPr>
          <w:trHeight w:val="581"/>
        </w:trPr>
        <w:tc>
          <w:tcPr>
            <w:tcW w:w="840" w:type="pct"/>
            <w:tcBorders>
              <w:top w:val="nil"/>
              <w:left w:val="single" w:sz="4" w:space="0" w:color="auto"/>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0"/>
              <w:jc w:val="left"/>
              <w:rPr>
                <w:rFonts w:eastAsia="Times New Roman" w:cs="Calibri Light"/>
                <w:b/>
                <w:bCs/>
                <w:sz w:val="18"/>
                <w:szCs w:val="20"/>
              </w:rPr>
            </w:pPr>
            <w:r w:rsidRPr="001658C7">
              <w:rPr>
                <w:rFonts w:eastAsia="Times New Roman" w:cs="Calibri Light"/>
                <w:b/>
                <w:bCs/>
                <w:sz w:val="18"/>
                <w:szCs w:val="20"/>
              </w:rPr>
              <w:t>Obligacje</w:t>
            </w:r>
          </w:p>
        </w:tc>
        <w:tc>
          <w:tcPr>
            <w:tcW w:w="525"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0"/>
              <w:jc w:val="right"/>
              <w:rPr>
                <w:rFonts w:cs="Calibri Light"/>
                <w:sz w:val="18"/>
                <w:szCs w:val="18"/>
              </w:rPr>
            </w:pPr>
            <w:r w:rsidRPr="005764A3">
              <w:rPr>
                <w:rFonts w:cs="Calibri Light"/>
                <w:sz w:val="18"/>
                <w:szCs w:val="18"/>
              </w:rPr>
              <w:t>20 875 124</w:t>
            </w:r>
          </w:p>
        </w:tc>
        <w:tc>
          <w:tcPr>
            <w:tcW w:w="418"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14"/>
              <w:jc w:val="center"/>
              <w:rPr>
                <w:rFonts w:cs="Calibri Light"/>
                <w:sz w:val="18"/>
                <w:szCs w:val="18"/>
              </w:rPr>
            </w:pPr>
            <w:r w:rsidRPr="005764A3">
              <w:rPr>
                <w:rFonts w:cs="Calibri Light"/>
                <w:sz w:val="18"/>
                <w:szCs w:val="18"/>
              </w:rPr>
              <w:t>1,07</w:t>
            </w:r>
          </w:p>
        </w:tc>
        <w:tc>
          <w:tcPr>
            <w:tcW w:w="499"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ind w:firstLine="2"/>
              <w:jc w:val="center"/>
              <w:rPr>
                <w:rFonts w:cs="Calibri Light"/>
                <w:sz w:val="18"/>
                <w:szCs w:val="18"/>
              </w:rPr>
            </w:pPr>
            <w:r w:rsidRPr="005764A3">
              <w:rPr>
                <w:rFonts w:cs="Calibri Light"/>
                <w:sz w:val="18"/>
                <w:szCs w:val="18"/>
              </w:rPr>
              <w:t>5,13%</w:t>
            </w:r>
          </w:p>
        </w:tc>
        <w:tc>
          <w:tcPr>
            <w:tcW w:w="547" w:type="pct"/>
            <w:tcBorders>
              <w:top w:val="nil"/>
              <w:left w:val="nil"/>
              <w:bottom w:val="single" w:sz="4" w:space="0" w:color="auto"/>
              <w:right w:val="single" w:sz="4" w:space="0" w:color="auto"/>
            </w:tcBorders>
            <w:shd w:val="clear" w:color="000000" w:fill="FFFFFF"/>
            <w:noWrap/>
            <w:vAlign w:val="center"/>
            <w:hideMark/>
          </w:tcPr>
          <w:p w:rsidR="000E4A09" w:rsidRPr="001658C7" w:rsidRDefault="000E4A09" w:rsidP="000E4A09">
            <w:pPr>
              <w:spacing w:after="0"/>
              <w:jc w:val="right"/>
              <w:rPr>
                <w:rFonts w:cs="Calibri Light"/>
                <w:sz w:val="18"/>
                <w:szCs w:val="18"/>
              </w:rPr>
            </w:pPr>
            <w:r w:rsidRPr="005764A3">
              <w:rPr>
                <w:rFonts w:cs="Calibri Light"/>
                <w:sz w:val="18"/>
                <w:szCs w:val="18"/>
              </w:rPr>
              <w:t>79,0%</w:t>
            </w:r>
          </w:p>
        </w:tc>
        <w:tc>
          <w:tcPr>
            <w:tcW w:w="693"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0E4A09">
            <w:pPr>
              <w:spacing w:after="0"/>
              <w:ind w:firstLine="27"/>
              <w:jc w:val="right"/>
              <w:rPr>
                <w:rFonts w:cs="Calibri Light"/>
                <w:sz w:val="18"/>
                <w:szCs w:val="18"/>
              </w:rPr>
            </w:pPr>
            <w:r>
              <w:rPr>
                <w:rFonts w:cs="Calibri Light"/>
                <w:sz w:val="18"/>
                <w:szCs w:val="18"/>
              </w:rPr>
              <w:t>18</w:t>
            </w:r>
            <w:r w:rsidRPr="005764A3">
              <w:rPr>
                <w:rFonts w:cs="Calibri Light"/>
                <w:sz w:val="18"/>
                <w:szCs w:val="18"/>
              </w:rPr>
              <w:t> 875 124</w:t>
            </w:r>
          </w:p>
        </w:tc>
        <w:tc>
          <w:tcPr>
            <w:tcW w:w="432"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0E4A09">
            <w:pPr>
              <w:spacing w:after="0"/>
              <w:ind w:firstLine="7"/>
              <w:jc w:val="center"/>
              <w:rPr>
                <w:rFonts w:cs="Calibri Light"/>
                <w:sz w:val="18"/>
                <w:szCs w:val="18"/>
              </w:rPr>
            </w:pPr>
            <w:r>
              <w:rPr>
                <w:rFonts w:cs="Calibri Light"/>
                <w:sz w:val="18"/>
                <w:szCs w:val="18"/>
              </w:rPr>
              <w:t>1,09</w:t>
            </w:r>
          </w:p>
        </w:tc>
        <w:tc>
          <w:tcPr>
            <w:tcW w:w="499"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0E4A09">
            <w:pPr>
              <w:spacing w:after="0"/>
              <w:ind w:firstLine="0"/>
              <w:jc w:val="center"/>
              <w:rPr>
                <w:rFonts w:cs="Calibri Light"/>
                <w:sz w:val="18"/>
                <w:szCs w:val="18"/>
              </w:rPr>
            </w:pPr>
            <w:r>
              <w:rPr>
                <w:rFonts w:cs="Calibri Light"/>
                <w:sz w:val="18"/>
                <w:szCs w:val="18"/>
              </w:rPr>
              <w:t>6,26</w:t>
            </w:r>
            <w:r w:rsidRPr="005764A3">
              <w:rPr>
                <w:rFonts w:cs="Calibri Light"/>
                <w:sz w:val="18"/>
                <w:szCs w:val="18"/>
              </w:rPr>
              <w:t>%</w:t>
            </w:r>
          </w:p>
        </w:tc>
        <w:tc>
          <w:tcPr>
            <w:tcW w:w="547" w:type="pct"/>
            <w:tcBorders>
              <w:top w:val="nil"/>
              <w:left w:val="nil"/>
              <w:bottom w:val="single" w:sz="4" w:space="0" w:color="auto"/>
              <w:right w:val="single" w:sz="4" w:space="0" w:color="auto"/>
            </w:tcBorders>
            <w:shd w:val="clear" w:color="000000" w:fill="FFFFFF"/>
            <w:noWrap/>
            <w:vAlign w:val="center"/>
          </w:tcPr>
          <w:p w:rsidR="000E4A09" w:rsidRPr="005764A3" w:rsidRDefault="000E4A09" w:rsidP="00BA687D">
            <w:pPr>
              <w:spacing w:after="0"/>
              <w:ind w:firstLine="0"/>
              <w:jc w:val="right"/>
              <w:rPr>
                <w:rFonts w:cs="Calibri Light"/>
                <w:sz w:val="18"/>
                <w:szCs w:val="18"/>
              </w:rPr>
            </w:pPr>
            <w:r>
              <w:rPr>
                <w:rFonts w:cs="Calibri Light"/>
                <w:sz w:val="18"/>
                <w:szCs w:val="18"/>
              </w:rPr>
              <w:t>100</w:t>
            </w:r>
            <w:r w:rsidRPr="005764A3">
              <w:rPr>
                <w:rFonts w:cs="Calibri Light"/>
                <w:sz w:val="18"/>
                <w:szCs w:val="18"/>
              </w:rPr>
              <w:t>,0%</w:t>
            </w:r>
          </w:p>
        </w:tc>
      </w:tr>
      <w:tr w:rsidR="000E4A09" w:rsidRPr="001658C7" w:rsidTr="000E4A09">
        <w:trPr>
          <w:trHeight w:val="360"/>
        </w:trPr>
        <w:tc>
          <w:tcPr>
            <w:tcW w:w="840" w:type="pct"/>
            <w:tcBorders>
              <w:top w:val="nil"/>
              <w:left w:val="single" w:sz="4" w:space="0" w:color="auto"/>
              <w:bottom w:val="single" w:sz="4" w:space="0" w:color="auto"/>
              <w:right w:val="single" w:sz="4" w:space="0" w:color="auto"/>
            </w:tcBorders>
            <w:shd w:val="clear" w:color="000000" w:fill="C5D9F1"/>
            <w:vAlign w:val="center"/>
            <w:hideMark/>
          </w:tcPr>
          <w:p w:rsidR="000E4A09" w:rsidRPr="001658C7" w:rsidRDefault="000E4A09" w:rsidP="000E4A09">
            <w:pPr>
              <w:spacing w:after="0"/>
              <w:ind w:firstLine="0"/>
              <w:jc w:val="center"/>
              <w:rPr>
                <w:rFonts w:eastAsia="Times New Roman" w:cs="Calibri Light"/>
                <w:b/>
                <w:bCs/>
                <w:sz w:val="18"/>
                <w:szCs w:val="20"/>
              </w:rPr>
            </w:pPr>
            <w:r w:rsidRPr="001658C7">
              <w:rPr>
                <w:rFonts w:eastAsia="Times New Roman" w:cs="Calibri Light"/>
                <w:b/>
                <w:bCs/>
                <w:sz w:val="18"/>
                <w:szCs w:val="20"/>
              </w:rPr>
              <w:t>Razem</w:t>
            </w:r>
          </w:p>
        </w:tc>
        <w:tc>
          <w:tcPr>
            <w:tcW w:w="525" w:type="pct"/>
            <w:tcBorders>
              <w:top w:val="nil"/>
              <w:left w:val="nil"/>
              <w:bottom w:val="single" w:sz="4" w:space="0" w:color="auto"/>
              <w:right w:val="single" w:sz="4" w:space="0" w:color="auto"/>
            </w:tcBorders>
            <w:shd w:val="clear" w:color="000000" w:fill="C5D9F1"/>
            <w:noWrap/>
            <w:vAlign w:val="center"/>
            <w:hideMark/>
          </w:tcPr>
          <w:p w:rsidR="000E4A09" w:rsidRPr="001658C7" w:rsidRDefault="000E4A09" w:rsidP="000E4A09">
            <w:pPr>
              <w:spacing w:after="0"/>
              <w:ind w:firstLine="0"/>
              <w:jc w:val="right"/>
              <w:rPr>
                <w:rFonts w:eastAsia="Times New Roman" w:cs="Calibri Light"/>
                <w:b/>
                <w:bCs/>
                <w:sz w:val="18"/>
                <w:szCs w:val="20"/>
              </w:rPr>
            </w:pPr>
            <w:r w:rsidRPr="005764A3">
              <w:rPr>
                <w:rFonts w:eastAsia="Times New Roman" w:cs="Calibri Light"/>
                <w:b/>
                <w:bCs/>
                <w:sz w:val="18"/>
                <w:szCs w:val="20"/>
              </w:rPr>
              <w:t>26 284 574</w:t>
            </w:r>
          </w:p>
        </w:tc>
        <w:tc>
          <w:tcPr>
            <w:tcW w:w="418" w:type="pct"/>
            <w:tcBorders>
              <w:top w:val="nil"/>
              <w:left w:val="nil"/>
              <w:bottom w:val="single" w:sz="4" w:space="0" w:color="auto"/>
              <w:right w:val="single" w:sz="4" w:space="0" w:color="auto"/>
            </w:tcBorders>
            <w:shd w:val="clear" w:color="000000" w:fill="C5D9F1"/>
            <w:noWrap/>
            <w:vAlign w:val="center"/>
            <w:hideMark/>
          </w:tcPr>
          <w:p w:rsidR="000E4A09" w:rsidRPr="001658C7" w:rsidRDefault="000E4A09" w:rsidP="000E4A09">
            <w:pPr>
              <w:spacing w:after="0"/>
              <w:ind w:firstLine="14"/>
              <w:jc w:val="center"/>
              <w:rPr>
                <w:rFonts w:eastAsia="Times New Roman" w:cs="Calibri Light"/>
                <w:b/>
                <w:bCs/>
                <w:sz w:val="18"/>
                <w:szCs w:val="20"/>
              </w:rPr>
            </w:pPr>
            <w:r w:rsidRPr="005764A3">
              <w:rPr>
                <w:rFonts w:eastAsia="Times New Roman" w:cs="Calibri Light"/>
                <w:b/>
                <w:bCs/>
                <w:sz w:val="18"/>
                <w:szCs w:val="20"/>
              </w:rPr>
              <w:t>0,85</w:t>
            </w:r>
          </w:p>
        </w:tc>
        <w:tc>
          <w:tcPr>
            <w:tcW w:w="499" w:type="pct"/>
            <w:tcBorders>
              <w:top w:val="nil"/>
              <w:left w:val="nil"/>
              <w:bottom w:val="single" w:sz="4" w:space="0" w:color="auto"/>
              <w:right w:val="single" w:sz="4" w:space="0" w:color="auto"/>
            </w:tcBorders>
            <w:shd w:val="clear" w:color="000000" w:fill="C5D9F1"/>
            <w:noWrap/>
            <w:vAlign w:val="center"/>
            <w:hideMark/>
          </w:tcPr>
          <w:p w:rsidR="000E4A09" w:rsidRPr="001658C7" w:rsidRDefault="000E4A09" w:rsidP="000E4A09">
            <w:pPr>
              <w:spacing w:after="0"/>
              <w:ind w:firstLine="2"/>
              <w:jc w:val="center"/>
              <w:rPr>
                <w:rFonts w:eastAsia="Times New Roman" w:cs="Calibri Light"/>
                <w:b/>
                <w:bCs/>
                <w:sz w:val="18"/>
                <w:szCs w:val="20"/>
              </w:rPr>
            </w:pPr>
            <w:r w:rsidRPr="005764A3">
              <w:rPr>
                <w:rFonts w:eastAsia="Times New Roman" w:cs="Calibri Light"/>
                <w:b/>
                <w:bCs/>
                <w:sz w:val="18"/>
                <w:szCs w:val="20"/>
              </w:rPr>
              <w:t>5,31%</w:t>
            </w:r>
          </w:p>
        </w:tc>
        <w:tc>
          <w:tcPr>
            <w:tcW w:w="547" w:type="pct"/>
            <w:tcBorders>
              <w:top w:val="nil"/>
              <w:left w:val="nil"/>
              <w:bottom w:val="single" w:sz="4" w:space="0" w:color="auto"/>
              <w:right w:val="single" w:sz="4" w:space="0" w:color="auto"/>
            </w:tcBorders>
            <w:shd w:val="clear" w:color="000000" w:fill="C5D9F1"/>
            <w:noWrap/>
            <w:vAlign w:val="center"/>
            <w:hideMark/>
          </w:tcPr>
          <w:p w:rsidR="000E4A09" w:rsidRPr="001658C7" w:rsidRDefault="000E4A09" w:rsidP="000E4A09">
            <w:pPr>
              <w:spacing w:after="0"/>
              <w:ind w:firstLine="59"/>
              <w:jc w:val="right"/>
              <w:rPr>
                <w:rFonts w:eastAsia="Times New Roman" w:cs="Calibri Light"/>
                <w:b/>
                <w:bCs/>
                <w:sz w:val="18"/>
                <w:szCs w:val="20"/>
              </w:rPr>
            </w:pPr>
            <w:r w:rsidRPr="005764A3">
              <w:rPr>
                <w:rFonts w:eastAsia="Times New Roman" w:cs="Calibri Light"/>
                <w:b/>
                <w:bCs/>
                <w:sz w:val="18"/>
                <w:szCs w:val="20"/>
              </w:rPr>
              <w:t>100,0%</w:t>
            </w:r>
          </w:p>
        </w:tc>
        <w:tc>
          <w:tcPr>
            <w:tcW w:w="693" w:type="pct"/>
            <w:tcBorders>
              <w:top w:val="nil"/>
              <w:left w:val="nil"/>
              <w:bottom w:val="single" w:sz="4" w:space="0" w:color="auto"/>
              <w:right w:val="single" w:sz="4" w:space="0" w:color="auto"/>
            </w:tcBorders>
            <w:shd w:val="clear" w:color="000000" w:fill="C5D9F1"/>
            <w:noWrap/>
            <w:vAlign w:val="center"/>
          </w:tcPr>
          <w:p w:rsidR="000E4A09" w:rsidRPr="005764A3" w:rsidRDefault="000E4A09" w:rsidP="000E4A09">
            <w:pPr>
              <w:spacing w:after="0"/>
              <w:ind w:firstLine="27"/>
              <w:jc w:val="right"/>
              <w:rPr>
                <w:rFonts w:eastAsia="Times New Roman" w:cs="Calibri Light"/>
                <w:b/>
                <w:bCs/>
                <w:sz w:val="18"/>
                <w:szCs w:val="20"/>
              </w:rPr>
            </w:pPr>
            <w:r>
              <w:rPr>
                <w:rFonts w:eastAsia="Times New Roman" w:cs="Calibri Light"/>
                <w:b/>
                <w:bCs/>
                <w:sz w:val="18"/>
                <w:szCs w:val="20"/>
              </w:rPr>
              <w:t>18 875 12</w:t>
            </w:r>
            <w:r w:rsidRPr="005764A3">
              <w:rPr>
                <w:rFonts w:eastAsia="Times New Roman" w:cs="Calibri Light"/>
                <w:b/>
                <w:bCs/>
                <w:sz w:val="18"/>
                <w:szCs w:val="20"/>
              </w:rPr>
              <w:t>4</w:t>
            </w:r>
          </w:p>
        </w:tc>
        <w:tc>
          <w:tcPr>
            <w:tcW w:w="432" w:type="pct"/>
            <w:tcBorders>
              <w:top w:val="nil"/>
              <w:left w:val="nil"/>
              <w:bottom w:val="single" w:sz="4" w:space="0" w:color="auto"/>
              <w:right w:val="single" w:sz="4" w:space="0" w:color="auto"/>
            </w:tcBorders>
            <w:shd w:val="clear" w:color="000000" w:fill="C5D9F1"/>
            <w:noWrap/>
            <w:vAlign w:val="center"/>
          </w:tcPr>
          <w:p w:rsidR="000E4A09" w:rsidRPr="005764A3" w:rsidRDefault="000E4A09" w:rsidP="000E4A09">
            <w:pPr>
              <w:spacing w:after="0"/>
              <w:ind w:firstLine="7"/>
              <w:jc w:val="center"/>
              <w:rPr>
                <w:rFonts w:eastAsia="Times New Roman" w:cs="Calibri Light"/>
                <w:b/>
                <w:bCs/>
                <w:sz w:val="18"/>
                <w:szCs w:val="20"/>
              </w:rPr>
            </w:pPr>
            <w:r>
              <w:rPr>
                <w:rFonts w:eastAsia="Times New Roman" w:cs="Calibri Light"/>
                <w:b/>
                <w:bCs/>
                <w:sz w:val="18"/>
                <w:szCs w:val="20"/>
              </w:rPr>
              <w:t>1,09</w:t>
            </w:r>
          </w:p>
        </w:tc>
        <w:tc>
          <w:tcPr>
            <w:tcW w:w="499" w:type="pct"/>
            <w:tcBorders>
              <w:top w:val="nil"/>
              <w:left w:val="nil"/>
              <w:bottom w:val="single" w:sz="4" w:space="0" w:color="auto"/>
              <w:right w:val="single" w:sz="4" w:space="0" w:color="auto"/>
            </w:tcBorders>
            <w:shd w:val="clear" w:color="000000" w:fill="C5D9F1"/>
            <w:noWrap/>
            <w:vAlign w:val="center"/>
          </w:tcPr>
          <w:p w:rsidR="000E4A09" w:rsidRPr="005764A3" w:rsidRDefault="000E4A09" w:rsidP="000E4A09">
            <w:pPr>
              <w:spacing w:after="0"/>
              <w:ind w:right="-139" w:hanging="93"/>
              <w:jc w:val="center"/>
              <w:rPr>
                <w:rFonts w:eastAsia="Times New Roman" w:cs="Calibri Light"/>
                <w:b/>
                <w:bCs/>
                <w:sz w:val="18"/>
                <w:szCs w:val="20"/>
              </w:rPr>
            </w:pPr>
            <w:r>
              <w:rPr>
                <w:rFonts w:eastAsia="Times New Roman" w:cs="Calibri Light"/>
                <w:b/>
                <w:bCs/>
                <w:sz w:val="18"/>
                <w:szCs w:val="20"/>
              </w:rPr>
              <w:t>6,26</w:t>
            </w:r>
            <w:r w:rsidRPr="005764A3">
              <w:rPr>
                <w:rFonts w:eastAsia="Times New Roman" w:cs="Calibri Light"/>
                <w:b/>
                <w:bCs/>
                <w:sz w:val="18"/>
                <w:szCs w:val="20"/>
              </w:rPr>
              <w:t>%</w:t>
            </w:r>
          </w:p>
        </w:tc>
        <w:tc>
          <w:tcPr>
            <w:tcW w:w="547" w:type="pct"/>
            <w:tcBorders>
              <w:top w:val="nil"/>
              <w:left w:val="nil"/>
              <w:bottom w:val="single" w:sz="4" w:space="0" w:color="auto"/>
              <w:right w:val="single" w:sz="4" w:space="0" w:color="auto"/>
            </w:tcBorders>
            <w:shd w:val="clear" w:color="000000" w:fill="C5D9F1"/>
            <w:noWrap/>
            <w:vAlign w:val="center"/>
          </w:tcPr>
          <w:p w:rsidR="000E4A09" w:rsidRPr="005764A3" w:rsidRDefault="000E4A09" w:rsidP="000E4A09">
            <w:pPr>
              <w:spacing w:after="0"/>
              <w:ind w:firstLine="0"/>
              <w:jc w:val="right"/>
              <w:rPr>
                <w:rFonts w:eastAsia="Times New Roman" w:cs="Calibri Light"/>
                <w:b/>
                <w:bCs/>
                <w:sz w:val="18"/>
                <w:szCs w:val="20"/>
              </w:rPr>
            </w:pPr>
            <w:r w:rsidRPr="005764A3">
              <w:rPr>
                <w:rFonts w:eastAsia="Times New Roman" w:cs="Calibri Light"/>
                <w:b/>
                <w:bCs/>
                <w:sz w:val="18"/>
                <w:szCs w:val="20"/>
              </w:rPr>
              <w:t>100,0%</w:t>
            </w:r>
          </w:p>
        </w:tc>
      </w:tr>
    </w:tbl>
    <w:p w:rsidR="000E4A09" w:rsidRPr="001658C7" w:rsidRDefault="000E4A09" w:rsidP="000E4A09">
      <w:pPr>
        <w:ind w:firstLine="0"/>
        <w:rPr>
          <w:rFonts w:cs="Calibri Light"/>
        </w:rPr>
      </w:pPr>
      <w:r w:rsidRPr="001658C7">
        <w:rPr>
          <w:rFonts w:eastAsia="Times New Roman" w:cs="Calibri Light"/>
          <w:bCs/>
          <w:i/>
          <w:sz w:val="18"/>
          <w:szCs w:val="18"/>
        </w:rPr>
        <w:t>*</w:t>
      </w:r>
      <w:r w:rsidR="00E6235D">
        <w:rPr>
          <w:rFonts w:eastAsia="Times New Roman" w:cs="Calibri Light"/>
          <w:bCs/>
          <w:i/>
          <w:sz w:val="18"/>
          <w:szCs w:val="18"/>
        </w:rPr>
        <w:t xml:space="preserve"> </w:t>
      </w:r>
      <w:r w:rsidRPr="001658C7">
        <w:rPr>
          <w:rFonts w:eastAsia="Times New Roman" w:cs="Calibri Light"/>
          <w:bCs/>
          <w:i/>
          <w:sz w:val="18"/>
          <w:szCs w:val="18"/>
        </w:rPr>
        <w:t>YTM – rentowność do wykupu na bazie rzeczywistej liczby dni w roku</w:t>
      </w:r>
      <w:r w:rsidRPr="001658C7">
        <w:rPr>
          <w:rFonts w:eastAsia="Times New Roman" w:cs="Calibri Light"/>
          <w:szCs w:val="20"/>
        </w:rPr>
        <w:t xml:space="preserve"> </w:t>
      </w:r>
    </w:p>
    <w:bookmarkEnd w:id="78"/>
    <w:bookmarkEnd w:id="79"/>
    <w:p w:rsidR="001528F2" w:rsidRDefault="001528F2" w:rsidP="00BA687D">
      <w:pPr>
        <w:rPr>
          <w:rFonts w:cs="Calibri Light"/>
        </w:rPr>
      </w:pPr>
      <w:r w:rsidRPr="001528F2">
        <w:rPr>
          <w:rFonts w:cs="Calibri Light"/>
        </w:rPr>
        <w:t>Łączny wynik na papierach wartościowych na koniec września 2022 r. wyniósł 811 904,6 tys. zł i był wyższy od zaplanowanego do zrealizowania (397 785,6 tys. zł) o 414 119,0 tys. zł.</w:t>
      </w:r>
    </w:p>
    <w:p w:rsidR="0076523D" w:rsidRDefault="0076523D" w:rsidP="008004CF">
      <w:pPr>
        <w:pStyle w:val="Nagwek2"/>
        <w:numPr>
          <w:ilvl w:val="0"/>
          <w:numId w:val="6"/>
        </w:numPr>
        <w:spacing w:before="240"/>
        <w:ind w:left="714" w:hanging="357"/>
        <w:rPr>
          <w:rFonts w:cs="Calibri Light"/>
        </w:rPr>
      </w:pPr>
      <w:bookmarkStart w:id="80" w:name="_Toc34836185"/>
      <w:bookmarkStart w:id="81" w:name="_Toc116304531"/>
      <w:r w:rsidRPr="00DF679D">
        <w:rPr>
          <w:rFonts w:cs="Calibri Light"/>
        </w:rPr>
        <w:t>Gospodarka finansowa Funduszu</w:t>
      </w:r>
      <w:bookmarkEnd w:id="80"/>
      <w:bookmarkEnd w:id="81"/>
    </w:p>
    <w:p w:rsidR="000B083B" w:rsidRPr="00BE6679" w:rsidRDefault="000B083B" w:rsidP="000B083B">
      <w:pPr>
        <w:spacing w:before="200" w:after="120"/>
      </w:pPr>
      <w:r w:rsidRPr="00BE6679">
        <w:t xml:space="preserve">Realizację Planu finansowego na dzień </w:t>
      </w:r>
      <w:r w:rsidRPr="005B4008">
        <w:t xml:space="preserve">30 </w:t>
      </w:r>
      <w:r>
        <w:t>września</w:t>
      </w:r>
      <w:r w:rsidRPr="00BE6679">
        <w:t xml:space="preserve"> 202</w:t>
      </w:r>
      <w:r>
        <w:t>2</w:t>
      </w:r>
      <w:r w:rsidRPr="00BE6679">
        <w:t> r. prezentują tabele 1</w:t>
      </w:r>
      <w:r>
        <w:t>2-15</w:t>
      </w:r>
      <w:r w:rsidRPr="00BE6679">
        <w:t xml:space="preserve">. </w:t>
      </w:r>
    </w:p>
    <w:p w:rsidR="000B083B" w:rsidRPr="002125D9" w:rsidRDefault="000B083B" w:rsidP="000B083B">
      <w:pPr>
        <w:spacing w:after="60"/>
        <w:ind w:firstLine="0"/>
        <w:rPr>
          <w:rFonts w:eastAsia="Times New Roman"/>
          <w:b/>
          <w:bCs/>
          <w:sz w:val="22"/>
          <w:szCs w:val="22"/>
        </w:rPr>
      </w:pPr>
      <w:r w:rsidRPr="002125D9">
        <w:rPr>
          <w:rFonts w:eastAsia="Times New Roman"/>
          <w:b/>
          <w:bCs/>
          <w:sz w:val="22"/>
          <w:szCs w:val="22"/>
        </w:rPr>
        <w:t>Tabela 1</w:t>
      </w:r>
      <w:r>
        <w:rPr>
          <w:rFonts w:eastAsia="Times New Roman"/>
          <w:b/>
          <w:bCs/>
          <w:sz w:val="22"/>
          <w:szCs w:val="22"/>
        </w:rPr>
        <w:t>2</w:t>
      </w:r>
      <w:r w:rsidRPr="002125D9">
        <w:rPr>
          <w:rFonts w:eastAsia="Times New Roman"/>
          <w:b/>
          <w:bCs/>
          <w:sz w:val="22"/>
          <w:szCs w:val="22"/>
        </w:rPr>
        <w:t xml:space="preserve">. Bilans BFG </w:t>
      </w:r>
    </w:p>
    <w:tbl>
      <w:tblPr>
        <w:tblStyle w:val="Jasnalistaakcent11"/>
        <w:tblW w:w="9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691"/>
        <w:gridCol w:w="1842"/>
        <w:gridCol w:w="1843"/>
        <w:gridCol w:w="1466"/>
      </w:tblGrid>
      <w:tr w:rsidR="000B083B" w:rsidRPr="002125D9" w:rsidTr="00DE5097">
        <w:trPr>
          <w:cnfStyle w:val="100000000000" w:firstRow="1" w:lastRow="0" w:firstColumn="0" w:lastColumn="0" w:oddVBand="0" w:evenVBand="0" w:oddHBand="0" w:evenHBand="0" w:firstRowFirstColumn="0" w:firstRowLastColumn="0" w:lastRowFirstColumn="0" w:lastRowLastColumn="0"/>
          <w:trHeight w:val="204"/>
          <w:tblHeader/>
        </w:trPr>
        <w:tc>
          <w:tcPr>
            <w:cnfStyle w:val="001000000000" w:firstRow="0" w:lastRow="0" w:firstColumn="1" w:lastColumn="0" w:oddVBand="0" w:evenVBand="0" w:oddHBand="0" w:evenHBand="0" w:firstRowFirstColumn="0" w:firstRowLastColumn="0" w:lastRowFirstColumn="0" w:lastRowLastColumn="0"/>
            <w:tcW w:w="570" w:type="dxa"/>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Lp.</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right w:val="none" w:sz="0"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b w:val="0"/>
                <w:bCs w:val="0"/>
                <w:sz w:val="18"/>
                <w:szCs w:val="18"/>
              </w:rPr>
            </w:pPr>
            <w:r w:rsidRPr="002125D9">
              <w:rPr>
                <w:rFonts w:cs="Calibri Light"/>
                <w:sz w:val="18"/>
                <w:szCs w:val="18"/>
              </w:rPr>
              <w:t>Wyszczególnienie</w:t>
            </w:r>
          </w:p>
        </w:tc>
        <w:tc>
          <w:tcPr>
            <w:tcW w:w="1842" w:type="dxa"/>
            <w:shd w:val="clear" w:color="auto" w:fill="2A5384"/>
            <w:vAlign w:val="center"/>
            <w:hideMark/>
          </w:tcPr>
          <w:p w:rsidR="000B083B" w:rsidRPr="002125D9" w:rsidRDefault="000B083B" w:rsidP="00DE5097">
            <w:pPr>
              <w:widowControl w:val="0"/>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2125D9">
              <w:rPr>
                <w:rFonts w:cs="Calibri Light"/>
                <w:sz w:val="18"/>
                <w:szCs w:val="18"/>
              </w:rPr>
              <w:t>Plan na 2022 r.</w:t>
            </w:r>
          </w:p>
          <w:p w:rsidR="000B083B" w:rsidRPr="002125D9" w:rsidRDefault="000B083B" w:rsidP="00DE5097">
            <w:pPr>
              <w:widowControl w:val="0"/>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cs="Calibri Light"/>
                <w:b w:val="0"/>
                <w:sz w:val="18"/>
                <w:szCs w:val="18"/>
              </w:rPr>
            </w:pPr>
            <w:r w:rsidRPr="002125D9">
              <w:rPr>
                <w:rFonts w:cs="Calibri Light"/>
                <w:b w:val="0"/>
                <w:sz w:val="18"/>
                <w:szCs w:val="18"/>
              </w:rPr>
              <w:t>(tys. zł)</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right w:val="none" w:sz="0" w:space="0" w:color="auto"/>
            </w:tcBorders>
            <w:shd w:val="clear" w:color="auto" w:fill="2A5384"/>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Wykonanie na</w:t>
            </w:r>
          </w:p>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 xml:space="preserve">30 </w:t>
            </w:r>
            <w:r>
              <w:rPr>
                <w:rFonts w:cs="Calibri Light"/>
                <w:sz w:val="18"/>
                <w:szCs w:val="18"/>
              </w:rPr>
              <w:t xml:space="preserve">września </w:t>
            </w:r>
            <w:r w:rsidRPr="002125D9">
              <w:rPr>
                <w:rFonts w:cs="Calibri Light"/>
                <w:sz w:val="18"/>
                <w:szCs w:val="18"/>
              </w:rPr>
              <w:t>2022 r.</w:t>
            </w:r>
          </w:p>
          <w:p w:rsidR="000B083B" w:rsidRPr="002125D9" w:rsidRDefault="000B083B" w:rsidP="00DE5097">
            <w:pPr>
              <w:widowControl w:val="0"/>
              <w:spacing w:before="0" w:beforeAutospacing="0" w:after="0" w:afterAutospacing="0"/>
              <w:ind w:firstLine="0"/>
              <w:jc w:val="center"/>
              <w:rPr>
                <w:rFonts w:cs="Calibri Light"/>
                <w:b w:val="0"/>
                <w:sz w:val="18"/>
                <w:szCs w:val="18"/>
              </w:rPr>
            </w:pPr>
            <w:r w:rsidRPr="002125D9">
              <w:rPr>
                <w:rFonts w:cs="Calibri Light"/>
                <w:b w:val="0"/>
                <w:sz w:val="18"/>
                <w:szCs w:val="18"/>
              </w:rPr>
              <w:t>(tys. zł)</w:t>
            </w:r>
          </w:p>
        </w:tc>
        <w:tc>
          <w:tcPr>
            <w:cnfStyle w:val="000100000000" w:firstRow="0" w:lastRow="0" w:firstColumn="0" w:lastColumn="1" w:oddVBand="0" w:evenVBand="0" w:oddHBand="0" w:evenHBand="0" w:firstRowFirstColumn="0" w:firstRowLastColumn="0" w:lastRowFirstColumn="0" w:lastRowLastColumn="0"/>
            <w:tcW w:w="1466" w:type="dxa"/>
            <w:shd w:val="clear" w:color="auto" w:fill="2A5384"/>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 xml:space="preserve">Wskaźnik realizacji planu rocznego </w:t>
            </w:r>
            <w:r w:rsidRPr="002125D9">
              <w:rPr>
                <w:rFonts w:cs="Calibri Light"/>
                <w:b w:val="0"/>
                <w:sz w:val="18"/>
                <w:szCs w:val="18"/>
              </w:rPr>
              <w:t>(%)</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center"/>
              <w:rPr>
                <w:rFonts w:cs="Calibri Light"/>
                <w:b w:val="0"/>
                <w:bCs w:val="0"/>
                <w:sz w:val="18"/>
                <w:szCs w:val="18"/>
              </w:rPr>
            </w:pPr>
            <w:r w:rsidRPr="002125D9">
              <w:rPr>
                <w:rFonts w:cs="Calibri Light"/>
                <w:sz w:val="18"/>
                <w:szCs w:val="18"/>
              </w:rPr>
              <w:t>I.</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b/>
                <w:bCs/>
                <w:sz w:val="18"/>
                <w:szCs w:val="18"/>
              </w:rPr>
            </w:pPr>
            <w:r w:rsidRPr="002125D9">
              <w:rPr>
                <w:rFonts w:cs="Calibri Light"/>
                <w:b/>
                <w:bCs/>
                <w:sz w:val="18"/>
                <w:szCs w:val="18"/>
              </w:rPr>
              <w:t>AKTYWA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
                <w:bCs/>
                <w:sz w:val="18"/>
                <w:szCs w:val="18"/>
              </w:rPr>
            </w:pPr>
            <w:r w:rsidRPr="00EC4B2E">
              <w:rPr>
                <w:rFonts w:cs="Calibri Light"/>
                <w:b/>
                <w:bCs/>
                <w:color w:val="000000"/>
                <w:sz w:val="18"/>
                <w:szCs w:val="18"/>
              </w:rPr>
              <w:t>25 214 813,9</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6B60A8" w:rsidRDefault="000B083B" w:rsidP="00DE5097">
            <w:pPr>
              <w:spacing w:after="0"/>
              <w:ind w:firstLine="0"/>
              <w:jc w:val="right"/>
              <w:rPr>
                <w:rFonts w:cs="Calibri Light"/>
                <w:b/>
                <w:bCs/>
                <w:color w:val="000000"/>
                <w:sz w:val="18"/>
                <w:szCs w:val="18"/>
              </w:rPr>
            </w:pPr>
            <w:r w:rsidRPr="006B60A8">
              <w:rPr>
                <w:rFonts w:cs="Calibri Light"/>
                <w:b/>
                <w:bCs/>
                <w:color w:val="000000"/>
                <w:sz w:val="18"/>
                <w:szCs w:val="18"/>
              </w:rPr>
              <w:t>31 478 105,5</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color w:val="000000"/>
                <w:sz w:val="18"/>
                <w:szCs w:val="18"/>
              </w:rPr>
            </w:pPr>
            <w:r w:rsidRPr="00F90F09">
              <w:rPr>
                <w:rFonts w:cs="Calibri Light"/>
                <w:color w:val="000000"/>
                <w:sz w:val="18"/>
                <w:szCs w:val="18"/>
              </w:rPr>
              <w:t>124,8</w:t>
            </w:r>
          </w:p>
        </w:tc>
      </w:tr>
      <w:tr w:rsidR="000B083B" w:rsidRPr="002125D9" w:rsidTr="00DE5097">
        <w:trPr>
          <w:trHeight w:val="206"/>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1.</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Należności od instytucji finansowych, w tym:</w:t>
            </w:r>
          </w:p>
        </w:tc>
        <w:tc>
          <w:tcPr>
            <w:tcW w:w="1842" w:type="dxa"/>
            <w:tcBorders>
              <w:top w:val="nil"/>
              <w:left w:val="single" w:sz="4" w:space="0" w:color="auto"/>
              <w:bottom w:val="single" w:sz="4" w:space="0" w:color="auto"/>
              <w:right w:val="single" w:sz="4" w:space="0" w:color="auto"/>
            </w:tcBorders>
            <w:shd w:val="clear" w:color="auto" w:fill="auto"/>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2125D9">
              <w:rPr>
                <w:rFonts w:cs="Calibri Light"/>
                <w:color w:val="000000"/>
                <w:sz w:val="18"/>
                <w:szCs w:val="18"/>
              </w:rPr>
              <w:t xml:space="preserve">2 436 959,2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060A9D" w:rsidRDefault="000B083B" w:rsidP="00DE5097">
            <w:pPr>
              <w:spacing w:after="0"/>
              <w:ind w:firstLine="0"/>
              <w:jc w:val="right"/>
              <w:rPr>
                <w:rFonts w:cs="Calibri Light"/>
                <w:color w:val="000000"/>
                <w:sz w:val="18"/>
                <w:szCs w:val="18"/>
              </w:rPr>
            </w:pPr>
            <w:r w:rsidRPr="00060A9D">
              <w:rPr>
                <w:rFonts w:cs="Calibri Light"/>
                <w:color w:val="000000"/>
                <w:sz w:val="18"/>
                <w:szCs w:val="18"/>
              </w:rPr>
              <w:t>3 420 375,4</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2125D9" w:rsidRDefault="000B083B" w:rsidP="00DE5097">
            <w:pPr>
              <w:spacing w:after="0"/>
              <w:ind w:firstLine="0"/>
              <w:jc w:val="right"/>
              <w:rPr>
                <w:rFonts w:cs="Calibri Light"/>
                <w:b w:val="0"/>
                <w:sz w:val="18"/>
                <w:szCs w:val="18"/>
                <w:highlight w:val="lightGray"/>
              </w:rPr>
            </w:pPr>
            <w:r>
              <w:rPr>
                <w:rFonts w:cs="Calibri Light"/>
                <w:b w:val="0"/>
                <w:color w:val="000000"/>
                <w:sz w:val="18"/>
                <w:szCs w:val="18"/>
              </w:rPr>
              <w:t>140,4</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right"/>
              <w:rPr>
                <w:rFonts w:cs="Calibri Light"/>
                <w:b w:val="0"/>
                <w:sz w:val="18"/>
                <w:szCs w:val="18"/>
              </w:rPr>
            </w:pPr>
            <w:r w:rsidRPr="002125D9">
              <w:rPr>
                <w:rFonts w:cs="Calibri Light"/>
                <w:b w:val="0"/>
                <w:sz w:val="18"/>
                <w:szCs w:val="18"/>
              </w:rPr>
              <w:t>a)</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należności od banków</w:t>
            </w:r>
          </w:p>
        </w:tc>
        <w:tc>
          <w:tcPr>
            <w:tcW w:w="1842" w:type="dxa"/>
            <w:tcBorders>
              <w:top w:val="nil"/>
              <w:left w:val="single" w:sz="4" w:space="0" w:color="auto"/>
              <w:bottom w:val="single" w:sz="4" w:space="0" w:color="auto"/>
              <w:right w:val="single" w:sz="4" w:space="0" w:color="auto"/>
            </w:tcBorders>
            <w:shd w:val="clear" w:color="auto" w:fill="auto"/>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2125D9">
              <w:rPr>
                <w:rFonts w:cs="Calibri Light"/>
                <w:color w:val="000000"/>
                <w:sz w:val="18"/>
                <w:szCs w:val="18"/>
              </w:rPr>
              <w:t xml:space="preserve">2 434 648,4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right"/>
              <w:rPr>
                <w:rFonts w:cs="Calibri Light"/>
                <w:bCs/>
                <w:sz w:val="18"/>
                <w:szCs w:val="18"/>
                <w:highlight w:val="lightGray"/>
              </w:rPr>
            </w:pPr>
            <w:r w:rsidRPr="00EC4B2E">
              <w:rPr>
                <w:rFonts w:cs="Calibri Light"/>
                <w:color w:val="000000"/>
                <w:sz w:val="18"/>
                <w:szCs w:val="18"/>
              </w:rPr>
              <w:t>3 420 375,4</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2125D9" w:rsidRDefault="000B083B" w:rsidP="00DE5097">
            <w:pPr>
              <w:spacing w:after="0"/>
              <w:ind w:firstLine="0"/>
              <w:jc w:val="right"/>
              <w:rPr>
                <w:rFonts w:cs="Calibri Light"/>
                <w:b w:val="0"/>
                <w:sz w:val="18"/>
                <w:szCs w:val="18"/>
                <w:highlight w:val="lightGray"/>
              </w:rPr>
            </w:pPr>
            <w:r>
              <w:rPr>
                <w:rFonts w:cs="Calibri Light"/>
                <w:b w:val="0"/>
                <w:color w:val="000000"/>
                <w:sz w:val="18"/>
                <w:szCs w:val="18"/>
              </w:rPr>
              <w:t>140,5</w:t>
            </w:r>
            <w:r w:rsidRPr="002125D9">
              <w:rPr>
                <w:rFonts w:cs="Calibri Light"/>
                <w:b w:val="0"/>
                <w:color w:val="000000"/>
                <w:sz w:val="18"/>
                <w:szCs w:val="18"/>
              </w:rPr>
              <w:t xml:space="preserve"> </w:t>
            </w:r>
          </w:p>
        </w:tc>
      </w:tr>
      <w:tr w:rsidR="000B083B" w:rsidRPr="002125D9" w:rsidTr="00DE5097">
        <w:trPr>
          <w:trHeight w:val="141"/>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right"/>
              <w:rPr>
                <w:rFonts w:cs="Calibri Light"/>
                <w:b w:val="0"/>
                <w:sz w:val="18"/>
                <w:szCs w:val="18"/>
              </w:rPr>
            </w:pPr>
            <w:r w:rsidRPr="002125D9">
              <w:rPr>
                <w:rFonts w:cs="Calibri Light"/>
                <w:b w:val="0"/>
                <w:sz w:val="18"/>
                <w:szCs w:val="18"/>
              </w:rPr>
              <w:t>b)</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należności od firm inwestycyjnych</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EC4B2E">
              <w:rPr>
                <w:rFonts w:cs="Calibri Light"/>
                <w:sz w:val="18"/>
                <w:szCs w:val="18"/>
              </w:rPr>
              <w:t xml:space="preserve">0,0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EC4B2E" w:rsidRDefault="000B083B" w:rsidP="00DE5097">
            <w:pPr>
              <w:spacing w:after="0"/>
              <w:ind w:firstLine="0"/>
              <w:jc w:val="right"/>
              <w:rPr>
                <w:rFonts w:cs="Calibri Light"/>
                <w:bCs/>
                <w:sz w:val="18"/>
                <w:szCs w:val="18"/>
                <w:highlight w:val="lightGray"/>
              </w:rPr>
            </w:pPr>
            <w:r w:rsidRPr="00EC4B2E">
              <w:rPr>
                <w:rFonts w:cs="Calibri Light"/>
                <w:sz w:val="18"/>
                <w:szCs w:val="18"/>
              </w:rPr>
              <w:t>0,0</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EC4B2E" w:rsidRDefault="000B083B" w:rsidP="00DE5097">
            <w:pPr>
              <w:spacing w:after="0"/>
              <w:ind w:firstLine="0"/>
              <w:jc w:val="right"/>
              <w:rPr>
                <w:rFonts w:cs="Calibri Light"/>
                <w:b w:val="0"/>
                <w:sz w:val="18"/>
                <w:szCs w:val="18"/>
                <w:highlight w:val="lightGray"/>
              </w:rPr>
            </w:pPr>
            <w:r w:rsidRPr="00EC4B2E">
              <w:rPr>
                <w:rFonts w:cs="Calibri Light"/>
                <w:b w:val="0"/>
                <w:sz w:val="18"/>
                <w:szCs w:val="18"/>
              </w:rPr>
              <w:t>-</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right"/>
              <w:rPr>
                <w:rFonts w:cs="Calibri Light"/>
                <w:b w:val="0"/>
                <w:sz w:val="18"/>
                <w:szCs w:val="18"/>
              </w:rPr>
            </w:pPr>
            <w:r w:rsidRPr="002125D9">
              <w:rPr>
                <w:rFonts w:cs="Calibri Light"/>
                <w:b w:val="0"/>
                <w:sz w:val="18"/>
                <w:szCs w:val="18"/>
              </w:rPr>
              <w:t>c)</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należności od SKOK</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FF0000"/>
                <w:sz w:val="18"/>
                <w:szCs w:val="18"/>
              </w:rPr>
            </w:pPr>
            <w:r w:rsidRPr="00EC4B2E">
              <w:rPr>
                <w:rFonts w:cs="Calibri Light"/>
                <w:sz w:val="18"/>
                <w:szCs w:val="18"/>
              </w:rPr>
              <w:t xml:space="preserve">2 310,8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EC4B2E" w:rsidRDefault="000B083B" w:rsidP="00DE5097">
            <w:pPr>
              <w:spacing w:after="0"/>
              <w:ind w:firstLine="0"/>
              <w:jc w:val="right"/>
              <w:rPr>
                <w:rFonts w:cs="Calibri Light"/>
                <w:sz w:val="18"/>
                <w:szCs w:val="18"/>
                <w:highlight w:val="lightGray"/>
              </w:rPr>
            </w:pPr>
            <w:r w:rsidRPr="00EC4B2E">
              <w:rPr>
                <w:rFonts w:cs="Calibri Light"/>
                <w:sz w:val="18"/>
                <w:szCs w:val="18"/>
              </w:rPr>
              <w:t>0,0</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EC4B2E" w:rsidRDefault="000B083B" w:rsidP="00DE5097">
            <w:pPr>
              <w:spacing w:after="0"/>
              <w:ind w:firstLine="0"/>
              <w:jc w:val="right"/>
              <w:rPr>
                <w:rFonts w:cs="Calibri Light"/>
                <w:b w:val="0"/>
                <w:color w:val="FF0000"/>
                <w:sz w:val="18"/>
                <w:szCs w:val="18"/>
                <w:highlight w:val="lightGray"/>
              </w:rPr>
            </w:pPr>
            <w:r w:rsidRPr="00EC4B2E">
              <w:rPr>
                <w:rFonts w:cs="Calibri Light"/>
                <w:b w:val="0"/>
                <w:sz w:val="18"/>
                <w:szCs w:val="18"/>
              </w:rPr>
              <w:t xml:space="preserve">- </w:t>
            </w:r>
          </w:p>
        </w:tc>
      </w:tr>
      <w:tr w:rsidR="000B083B" w:rsidRPr="002125D9" w:rsidTr="00DE5097">
        <w:trPr>
          <w:trHeight w:val="91"/>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2.</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Papiery wartościowe i inne aktywa finansowe</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EC4B2E">
              <w:rPr>
                <w:rFonts w:cs="Calibri Light"/>
                <w:sz w:val="18"/>
                <w:szCs w:val="18"/>
              </w:rPr>
              <w:t>22 708 875,1</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EC4B2E" w:rsidRDefault="000B083B" w:rsidP="00DE5097">
            <w:pPr>
              <w:spacing w:after="0"/>
              <w:ind w:firstLine="0"/>
              <w:jc w:val="right"/>
              <w:rPr>
                <w:rFonts w:cs="Calibri Light"/>
                <w:bCs/>
                <w:color w:val="FF0000"/>
                <w:sz w:val="18"/>
                <w:szCs w:val="18"/>
                <w:highlight w:val="lightGray"/>
              </w:rPr>
            </w:pPr>
            <w:r w:rsidRPr="009063BE">
              <w:rPr>
                <w:rFonts w:cs="Calibri Light"/>
                <w:sz w:val="18"/>
                <w:szCs w:val="18"/>
              </w:rPr>
              <w:t>19 708 773,7</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EC4B2E" w:rsidRDefault="000B083B" w:rsidP="00DE5097">
            <w:pPr>
              <w:spacing w:after="0"/>
              <w:ind w:firstLine="0"/>
              <w:jc w:val="right"/>
              <w:rPr>
                <w:rFonts w:cs="Calibri Light"/>
                <w:b w:val="0"/>
                <w:color w:val="FF0000"/>
                <w:sz w:val="18"/>
                <w:szCs w:val="18"/>
                <w:highlight w:val="lightGray"/>
              </w:rPr>
            </w:pPr>
            <w:r w:rsidRPr="009063BE">
              <w:rPr>
                <w:rFonts w:cs="Calibri Light"/>
                <w:b w:val="0"/>
                <w:sz w:val="18"/>
                <w:szCs w:val="18"/>
              </w:rPr>
              <w:t>86,8</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3.</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Rzeczowe aktywa trwałe i WNiP</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FF0000"/>
                <w:sz w:val="18"/>
                <w:szCs w:val="18"/>
              </w:rPr>
            </w:pPr>
            <w:r w:rsidRPr="009063BE">
              <w:rPr>
                <w:rFonts w:cs="Calibri Light"/>
                <w:sz w:val="18"/>
                <w:szCs w:val="18"/>
              </w:rPr>
              <w:t xml:space="preserve">65 883,0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EC4B2E" w:rsidRDefault="000B083B" w:rsidP="00DE5097">
            <w:pPr>
              <w:spacing w:after="0"/>
              <w:ind w:firstLine="0"/>
              <w:jc w:val="right"/>
              <w:rPr>
                <w:rFonts w:cs="Calibri Light"/>
                <w:bCs/>
                <w:color w:val="FF0000"/>
                <w:sz w:val="18"/>
                <w:szCs w:val="18"/>
                <w:highlight w:val="lightGray"/>
              </w:rPr>
            </w:pPr>
            <w:r w:rsidRPr="009063BE">
              <w:rPr>
                <w:rFonts w:cs="Calibri Light"/>
                <w:sz w:val="18"/>
                <w:szCs w:val="18"/>
              </w:rPr>
              <w:t>54 967,</w:t>
            </w:r>
            <w:r>
              <w:rPr>
                <w:rFonts w:cs="Calibri Light"/>
                <w:sz w:val="18"/>
                <w:szCs w:val="18"/>
              </w:rPr>
              <w:t>9</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9063BE" w:rsidRDefault="000B083B" w:rsidP="00DE5097">
            <w:pPr>
              <w:spacing w:after="0"/>
              <w:ind w:firstLine="0"/>
              <w:jc w:val="right"/>
              <w:rPr>
                <w:rFonts w:cs="Calibri Light"/>
                <w:b w:val="0"/>
                <w:sz w:val="18"/>
                <w:szCs w:val="18"/>
                <w:highlight w:val="lightGray"/>
              </w:rPr>
            </w:pPr>
            <w:r w:rsidRPr="009063BE">
              <w:rPr>
                <w:rFonts w:cs="Calibri Light"/>
                <w:b w:val="0"/>
                <w:sz w:val="18"/>
                <w:szCs w:val="18"/>
              </w:rPr>
              <w:t xml:space="preserve">83,4 </w:t>
            </w:r>
          </w:p>
        </w:tc>
      </w:tr>
      <w:tr w:rsidR="000B083B" w:rsidRPr="002125D9" w:rsidTr="00DE5097">
        <w:trPr>
          <w:trHeight w:val="211"/>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4.</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Inne aktywa</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FF0000"/>
                <w:sz w:val="18"/>
                <w:szCs w:val="18"/>
              </w:rPr>
            </w:pPr>
            <w:r w:rsidRPr="006B60A8">
              <w:rPr>
                <w:rFonts w:cs="Calibri Light"/>
                <w:sz w:val="18"/>
                <w:szCs w:val="18"/>
              </w:rPr>
              <w:t xml:space="preserve">3 096,6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EC4B2E" w:rsidRDefault="000B083B" w:rsidP="00DE5097">
            <w:pPr>
              <w:spacing w:after="0"/>
              <w:ind w:firstLine="0"/>
              <w:jc w:val="right"/>
              <w:rPr>
                <w:rFonts w:cs="Calibri Light"/>
                <w:bCs/>
                <w:color w:val="FF0000"/>
                <w:sz w:val="18"/>
                <w:szCs w:val="18"/>
                <w:highlight w:val="lightGray"/>
              </w:rPr>
            </w:pPr>
            <w:r w:rsidRPr="006B60A8">
              <w:rPr>
                <w:rFonts w:cs="Calibri Light"/>
                <w:sz w:val="18"/>
                <w:szCs w:val="18"/>
              </w:rPr>
              <w:t>8</w:t>
            </w:r>
            <w:r>
              <w:rPr>
                <w:rFonts w:cs="Calibri Light"/>
                <w:sz w:val="18"/>
                <w:szCs w:val="18"/>
              </w:rPr>
              <w:t> </w:t>
            </w:r>
            <w:r w:rsidRPr="006B60A8">
              <w:rPr>
                <w:rFonts w:cs="Calibri Light"/>
                <w:sz w:val="18"/>
                <w:szCs w:val="18"/>
              </w:rPr>
              <w:t>293</w:t>
            </w:r>
            <w:r>
              <w:rPr>
                <w:rFonts w:cs="Calibri Light"/>
                <w:sz w:val="18"/>
                <w:szCs w:val="18"/>
              </w:rPr>
              <w:t xml:space="preserve"> 988,5</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6B60A8" w:rsidRDefault="000B083B" w:rsidP="00DE5097">
            <w:pPr>
              <w:spacing w:after="0"/>
              <w:ind w:firstLine="0"/>
              <w:jc w:val="right"/>
              <w:rPr>
                <w:rFonts w:cs="Calibri Light"/>
                <w:b w:val="0"/>
                <w:color w:val="FF0000"/>
                <w:sz w:val="18"/>
                <w:szCs w:val="18"/>
              </w:rPr>
            </w:pPr>
            <w:r w:rsidRPr="00B43BD6">
              <w:rPr>
                <w:rFonts w:cs="Calibri Light"/>
                <w:b w:val="0"/>
                <w:sz w:val="18"/>
                <w:szCs w:val="18"/>
              </w:rPr>
              <w:t>&gt;1 000,0</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center"/>
              <w:rPr>
                <w:rFonts w:cs="Calibri Light"/>
                <w:b w:val="0"/>
                <w:bCs w:val="0"/>
                <w:sz w:val="18"/>
                <w:szCs w:val="18"/>
              </w:rPr>
            </w:pPr>
            <w:r w:rsidRPr="002125D9">
              <w:rPr>
                <w:rFonts w:cs="Calibri Light"/>
                <w:sz w:val="18"/>
                <w:szCs w:val="18"/>
              </w:rPr>
              <w:t>II.</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b/>
                <w:bCs/>
                <w:sz w:val="18"/>
                <w:szCs w:val="18"/>
              </w:rPr>
            </w:pPr>
            <w:r w:rsidRPr="002125D9">
              <w:rPr>
                <w:rFonts w:cs="Calibri Light"/>
                <w:b/>
                <w:bCs/>
                <w:sz w:val="18"/>
                <w:szCs w:val="18"/>
              </w:rPr>
              <w:t>PASYWA</w:t>
            </w:r>
          </w:p>
        </w:tc>
        <w:tc>
          <w:tcPr>
            <w:tcW w:w="1842" w:type="dxa"/>
            <w:tcBorders>
              <w:top w:val="nil"/>
              <w:left w:val="single" w:sz="4" w:space="0" w:color="auto"/>
              <w:bottom w:val="single" w:sz="4" w:space="0" w:color="auto"/>
              <w:right w:val="single" w:sz="4" w:space="0" w:color="auto"/>
            </w:tcBorders>
            <w:shd w:val="clear" w:color="auto" w:fill="auto"/>
          </w:tcPr>
          <w:p w:rsidR="000B083B" w:rsidRPr="00F90F0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
                <w:bCs/>
                <w:color w:val="000000"/>
                <w:sz w:val="18"/>
                <w:szCs w:val="18"/>
              </w:rPr>
            </w:pPr>
            <w:r w:rsidRPr="00F90F09">
              <w:rPr>
                <w:rFonts w:cs="Calibri Light"/>
                <w:b/>
                <w:bCs/>
                <w:color w:val="000000"/>
                <w:sz w:val="18"/>
                <w:szCs w:val="18"/>
              </w:rPr>
              <w:t>25 214 813,9</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b/>
                <w:bCs/>
                <w:color w:val="000000"/>
                <w:sz w:val="18"/>
                <w:szCs w:val="18"/>
              </w:rPr>
            </w:pPr>
            <w:r w:rsidRPr="00F90F09">
              <w:rPr>
                <w:rFonts w:cs="Calibri Light"/>
                <w:b/>
                <w:bCs/>
                <w:color w:val="000000"/>
                <w:sz w:val="18"/>
                <w:szCs w:val="18"/>
              </w:rPr>
              <w:t>31 478 105,5</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EC4B2E" w:rsidRDefault="000B083B" w:rsidP="00DE5097">
            <w:pPr>
              <w:tabs>
                <w:tab w:val="left" w:pos="600"/>
                <w:tab w:val="center" w:pos="747"/>
                <w:tab w:val="right" w:pos="1495"/>
              </w:tabs>
              <w:spacing w:after="0"/>
              <w:ind w:firstLine="0"/>
              <w:jc w:val="right"/>
              <w:rPr>
                <w:rFonts w:cs="Calibri Light"/>
                <w:color w:val="FF0000"/>
                <w:sz w:val="18"/>
                <w:szCs w:val="18"/>
                <w:highlight w:val="lightGray"/>
              </w:rPr>
            </w:pPr>
            <w:r w:rsidRPr="00F90F09">
              <w:rPr>
                <w:rFonts w:cs="Calibri Light"/>
                <w:bCs w:val="0"/>
                <w:sz w:val="18"/>
                <w:szCs w:val="18"/>
              </w:rPr>
              <w:t xml:space="preserve">124,8 </w:t>
            </w:r>
          </w:p>
        </w:tc>
      </w:tr>
      <w:tr w:rsidR="000B083B" w:rsidRPr="002125D9" w:rsidTr="00DE5097">
        <w:trPr>
          <w:trHeight w:val="175"/>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1.</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Fundusz statutowy</w:t>
            </w:r>
          </w:p>
        </w:tc>
        <w:tc>
          <w:tcPr>
            <w:tcW w:w="1842" w:type="dxa"/>
            <w:tcBorders>
              <w:top w:val="nil"/>
              <w:left w:val="single" w:sz="4" w:space="0" w:color="auto"/>
              <w:bottom w:val="single" w:sz="4" w:space="0" w:color="auto"/>
              <w:right w:val="single" w:sz="4" w:space="0" w:color="auto"/>
            </w:tcBorders>
            <w:shd w:val="clear" w:color="auto" w:fill="auto"/>
          </w:tcPr>
          <w:p w:rsidR="000B083B" w:rsidRPr="00F90F0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F90F09">
              <w:rPr>
                <w:rFonts w:cs="Calibri Light"/>
                <w:sz w:val="18"/>
                <w:szCs w:val="18"/>
              </w:rPr>
              <w:t xml:space="preserve">1 637 025,5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F90F09" w:rsidRDefault="000B083B" w:rsidP="00DE5097">
            <w:pPr>
              <w:spacing w:after="0"/>
              <w:ind w:firstLine="0"/>
              <w:jc w:val="right"/>
              <w:rPr>
                <w:rFonts w:cs="Calibri Light"/>
                <w:bCs/>
                <w:sz w:val="18"/>
                <w:szCs w:val="18"/>
                <w:highlight w:val="lightGray"/>
              </w:rPr>
            </w:pPr>
            <w:r w:rsidRPr="00F90F09">
              <w:rPr>
                <w:rFonts w:cs="Calibri Light"/>
                <w:sz w:val="18"/>
                <w:szCs w:val="18"/>
              </w:rPr>
              <w:t xml:space="preserve">1 637 025,5 </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F90F09" w:rsidRDefault="000B083B" w:rsidP="00DE5097">
            <w:pPr>
              <w:spacing w:after="0"/>
              <w:ind w:firstLine="0"/>
              <w:jc w:val="right"/>
              <w:rPr>
                <w:rFonts w:cs="Calibri Light"/>
                <w:b w:val="0"/>
                <w:sz w:val="18"/>
                <w:szCs w:val="18"/>
                <w:highlight w:val="lightGray"/>
              </w:rPr>
            </w:pPr>
            <w:r w:rsidRPr="00F90F09">
              <w:rPr>
                <w:rFonts w:cs="Calibri Light"/>
                <w:b w:val="0"/>
                <w:sz w:val="18"/>
                <w:szCs w:val="18"/>
              </w:rPr>
              <w:t xml:space="preserve">100,0 </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2.</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Fundusz gwarancyjny banków</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FF0000"/>
                <w:sz w:val="18"/>
                <w:szCs w:val="18"/>
              </w:rPr>
            </w:pPr>
            <w:r w:rsidRPr="00F90F09">
              <w:rPr>
                <w:rFonts w:cs="Calibri Light"/>
                <w:sz w:val="18"/>
                <w:szCs w:val="18"/>
              </w:rPr>
              <w:t xml:space="preserve">19 058 049,7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EC4B2E" w:rsidRDefault="000B083B" w:rsidP="00DE5097">
            <w:pPr>
              <w:spacing w:after="0"/>
              <w:ind w:firstLine="0"/>
              <w:jc w:val="right"/>
              <w:rPr>
                <w:rFonts w:cs="Calibri Light"/>
                <w:bCs/>
                <w:color w:val="FF0000"/>
                <w:sz w:val="18"/>
                <w:szCs w:val="18"/>
                <w:highlight w:val="lightGray"/>
              </w:rPr>
            </w:pPr>
            <w:r w:rsidRPr="00F90F09">
              <w:rPr>
                <w:rFonts w:cs="Calibri Light"/>
                <w:sz w:val="18"/>
                <w:szCs w:val="18"/>
              </w:rPr>
              <w:t xml:space="preserve">17 795 347,3 </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b w:val="0"/>
                <w:color w:val="FF0000"/>
                <w:sz w:val="18"/>
                <w:szCs w:val="18"/>
              </w:rPr>
            </w:pPr>
            <w:r w:rsidRPr="00F90F09">
              <w:rPr>
                <w:rFonts w:cs="Calibri Light"/>
                <w:b w:val="0"/>
                <w:sz w:val="18"/>
                <w:szCs w:val="18"/>
              </w:rPr>
              <w:t xml:space="preserve">93,4 </w:t>
            </w:r>
          </w:p>
        </w:tc>
      </w:tr>
      <w:tr w:rsidR="000B083B" w:rsidRPr="002125D9" w:rsidTr="00DE5097">
        <w:trPr>
          <w:trHeight w:val="140"/>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3.</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Fundusz przymusowej restrukturyzacji banków</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FF0000"/>
                <w:sz w:val="18"/>
                <w:szCs w:val="18"/>
              </w:rPr>
            </w:pPr>
            <w:r w:rsidRPr="00F90F09">
              <w:rPr>
                <w:rFonts w:cs="Calibri Light"/>
                <w:sz w:val="18"/>
                <w:szCs w:val="18"/>
              </w:rPr>
              <w:t xml:space="preserve">4 044 177,0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EC4B2E" w:rsidRDefault="000B083B" w:rsidP="00DE5097">
            <w:pPr>
              <w:spacing w:after="0"/>
              <w:ind w:firstLine="0"/>
              <w:jc w:val="right"/>
              <w:rPr>
                <w:rFonts w:cs="Calibri Light"/>
                <w:bCs/>
                <w:color w:val="FF0000"/>
                <w:sz w:val="18"/>
                <w:szCs w:val="18"/>
                <w:highlight w:val="lightGray"/>
              </w:rPr>
            </w:pPr>
            <w:r w:rsidRPr="00F90F09">
              <w:rPr>
                <w:rFonts w:cs="Calibri Light"/>
                <w:sz w:val="18"/>
                <w:szCs w:val="18"/>
              </w:rPr>
              <w:t>11 063 </w:t>
            </w:r>
            <w:r>
              <w:rPr>
                <w:rFonts w:cs="Calibri Light"/>
                <w:sz w:val="18"/>
                <w:szCs w:val="18"/>
              </w:rPr>
              <w:t>529</w:t>
            </w:r>
            <w:r w:rsidRPr="00F90F09">
              <w:rPr>
                <w:rFonts w:cs="Calibri Light"/>
                <w:sz w:val="18"/>
                <w:szCs w:val="18"/>
              </w:rPr>
              <w:t xml:space="preserve">,5 </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EC4B2E" w:rsidRDefault="000B083B" w:rsidP="00DE5097">
            <w:pPr>
              <w:spacing w:after="0"/>
              <w:ind w:firstLine="0"/>
              <w:jc w:val="right"/>
              <w:rPr>
                <w:rFonts w:cs="Calibri Light"/>
                <w:b w:val="0"/>
                <w:color w:val="FF0000"/>
                <w:sz w:val="18"/>
                <w:szCs w:val="18"/>
                <w:highlight w:val="lightGray"/>
              </w:rPr>
            </w:pPr>
            <w:r w:rsidRPr="00F90F09">
              <w:rPr>
                <w:rFonts w:cs="Calibri Light"/>
                <w:b w:val="0"/>
                <w:sz w:val="18"/>
                <w:szCs w:val="18"/>
              </w:rPr>
              <w:t xml:space="preserve">273,6 </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4.</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Fundusz restrukturyzacji banków spółdzielczych</w:t>
            </w:r>
          </w:p>
        </w:tc>
        <w:tc>
          <w:tcPr>
            <w:tcW w:w="1842" w:type="dxa"/>
            <w:tcBorders>
              <w:top w:val="nil"/>
              <w:left w:val="single" w:sz="4" w:space="0" w:color="auto"/>
              <w:bottom w:val="single" w:sz="4" w:space="0" w:color="auto"/>
              <w:right w:val="single" w:sz="4" w:space="0" w:color="auto"/>
            </w:tcBorders>
            <w:shd w:val="clear" w:color="auto" w:fill="auto"/>
          </w:tcPr>
          <w:p w:rsidR="000B083B" w:rsidRPr="00F90F0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F90F09">
              <w:rPr>
                <w:rFonts w:cs="Calibri Light"/>
                <w:sz w:val="18"/>
                <w:szCs w:val="18"/>
              </w:rPr>
              <w:t xml:space="preserve">0,0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bCs/>
                <w:sz w:val="18"/>
                <w:szCs w:val="18"/>
                <w:highlight w:val="lightGray"/>
              </w:rPr>
            </w:pPr>
            <w:r w:rsidRPr="00F90F09">
              <w:rPr>
                <w:rFonts w:cs="Calibri Light"/>
                <w:sz w:val="18"/>
                <w:szCs w:val="18"/>
              </w:rPr>
              <w:t xml:space="preserve">0,0 </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b w:val="0"/>
                <w:sz w:val="18"/>
                <w:szCs w:val="18"/>
                <w:highlight w:val="lightGray"/>
              </w:rPr>
            </w:pPr>
            <w:r w:rsidRPr="00F90F09">
              <w:rPr>
                <w:rFonts w:cs="Calibri Light"/>
                <w:b w:val="0"/>
                <w:sz w:val="18"/>
                <w:szCs w:val="18"/>
              </w:rPr>
              <w:t>-</w:t>
            </w:r>
          </w:p>
        </w:tc>
      </w:tr>
      <w:tr w:rsidR="000B083B" w:rsidRPr="00F90F09" w:rsidTr="00DE5097">
        <w:trPr>
          <w:trHeight w:val="104"/>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5.</w:t>
            </w:r>
          </w:p>
        </w:tc>
        <w:tc>
          <w:tcPr>
            <w:cnfStyle w:val="000010000000" w:firstRow="0" w:lastRow="0" w:firstColumn="0" w:lastColumn="0" w:oddVBand="1" w:evenVBand="0" w:oddHBand="0" w:evenHBand="0" w:firstRowFirstColumn="0" w:firstRowLastColumn="0" w:lastRowFirstColumn="0" w:lastRowLastColumn="0"/>
            <w:tcW w:w="3691" w:type="dxa"/>
          </w:tcPr>
          <w:p w:rsidR="000B083B" w:rsidRPr="002125D9" w:rsidRDefault="000B083B" w:rsidP="00DE5097">
            <w:pPr>
              <w:spacing w:after="0"/>
              <w:ind w:firstLine="0"/>
              <w:jc w:val="left"/>
              <w:rPr>
                <w:rFonts w:cs="Calibri Light"/>
                <w:sz w:val="18"/>
                <w:szCs w:val="18"/>
              </w:rPr>
            </w:pPr>
            <w:r w:rsidRPr="002125D9">
              <w:rPr>
                <w:rFonts w:cs="Calibri Light"/>
                <w:sz w:val="18"/>
                <w:szCs w:val="18"/>
              </w:rPr>
              <w:t>Fundusz gwarancyjny kas</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FF0000"/>
                <w:sz w:val="18"/>
                <w:szCs w:val="18"/>
              </w:rPr>
            </w:pPr>
            <w:r w:rsidRPr="00F90F09">
              <w:rPr>
                <w:rFonts w:cs="Calibri Light"/>
                <w:sz w:val="18"/>
                <w:szCs w:val="18"/>
              </w:rPr>
              <w:t xml:space="preserve">42,8 </w:t>
            </w:r>
          </w:p>
        </w:tc>
        <w:tc>
          <w:tcPr>
            <w:cnfStyle w:val="000010000000" w:firstRow="0" w:lastRow="0" w:firstColumn="0" w:lastColumn="0" w:oddVBand="1" w:evenVBand="0" w:oddHBand="0" w:evenHBand="0" w:firstRowFirstColumn="0" w:firstRowLastColumn="0" w:lastRowFirstColumn="0" w:lastRowLastColumn="0"/>
            <w:tcW w:w="1843" w:type="dxa"/>
          </w:tcPr>
          <w:p w:rsidR="000B083B" w:rsidRPr="00EC4B2E" w:rsidRDefault="000B083B" w:rsidP="00DE5097">
            <w:pPr>
              <w:spacing w:after="0"/>
              <w:ind w:firstLine="0"/>
              <w:jc w:val="right"/>
              <w:rPr>
                <w:rFonts w:cs="Calibri Light"/>
                <w:bCs/>
                <w:color w:val="FF0000"/>
                <w:sz w:val="18"/>
                <w:szCs w:val="18"/>
                <w:highlight w:val="lightGray"/>
              </w:rPr>
            </w:pPr>
            <w:r w:rsidRPr="00F90F09">
              <w:rPr>
                <w:rFonts w:cs="Calibri Light"/>
                <w:sz w:val="18"/>
                <w:szCs w:val="18"/>
              </w:rPr>
              <w:t>37</w:t>
            </w:r>
            <w:r>
              <w:rPr>
                <w:rFonts w:cs="Calibri Light"/>
                <w:sz w:val="18"/>
                <w:szCs w:val="18"/>
              </w:rPr>
              <w:t> </w:t>
            </w:r>
            <w:r w:rsidRPr="00F90F09">
              <w:rPr>
                <w:rFonts w:cs="Calibri Light"/>
                <w:sz w:val="18"/>
                <w:szCs w:val="18"/>
              </w:rPr>
              <w:t>841</w:t>
            </w:r>
            <w:r>
              <w:rPr>
                <w:rFonts w:cs="Calibri Light"/>
                <w:sz w:val="18"/>
                <w:szCs w:val="18"/>
              </w:rPr>
              <w:t>,0</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F90F09" w:rsidRDefault="000B083B" w:rsidP="00DE5097">
            <w:pPr>
              <w:spacing w:after="0"/>
              <w:ind w:firstLine="0"/>
              <w:jc w:val="right"/>
              <w:rPr>
                <w:rFonts w:cs="Calibri Light"/>
                <w:b w:val="0"/>
                <w:sz w:val="18"/>
                <w:szCs w:val="18"/>
                <w:highlight w:val="lightGray"/>
              </w:rPr>
            </w:pPr>
            <w:r w:rsidRPr="00F90F09">
              <w:rPr>
                <w:rFonts w:cs="Calibri Light"/>
                <w:b w:val="0"/>
                <w:sz w:val="18"/>
                <w:szCs w:val="18"/>
              </w:rPr>
              <w:t>&gt;1 000,0</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6.</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Fundusz przymusowej restrukturyzacji kas</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color w:val="FF0000"/>
                <w:sz w:val="18"/>
                <w:szCs w:val="18"/>
              </w:rPr>
            </w:pPr>
            <w:r w:rsidRPr="00F90F09">
              <w:rPr>
                <w:rFonts w:cs="Calibri Light"/>
                <w:sz w:val="18"/>
                <w:szCs w:val="18"/>
              </w:rPr>
              <w:t xml:space="preserve">7 388,9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bCs/>
                <w:sz w:val="18"/>
                <w:szCs w:val="18"/>
                <w:highlight w:val="lightGray"/>
              </w:rPr>
            </w:pPr>
            <w:r w:rsidRPr="00F90F09">
              <w:rPr>
                <w:rFonts w:cs="Calibri Light"/>
                <w:sz w:val="18"/>
                <w:szCs w:val="18"/>
              </w:rPr>
              <w:t xml:space="preserve">7 272,9 </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b w:val="0"/>
                <w:sz w:val="18"/>
                <w:szCs w:val="18"/>
                <w:highlight w:val="lightGray"/>
              </w:rPr>
            </w:pPr>
            <w:r w:rsidRPr="00F90F09">
              <w:rPr>
                <w:rFonts w:cs="Calibri Light"/>
                <w:b w:val="0"/>
                <w:sz w:val="18"/>
                <w:szCs w:val="18"/>
              </w:rPr>
              <w:t xml:space="preserve">98,4 </w:t>
            </w:r>
          </w:p>
        </w:tc>
      </w:tr>
      <w:tr w:rsidR="000B083B" w:rsidRPr="002125D9" w:rsidTr="00DE5097">
        <w:trPr>
          <w:trHeight w:val="680"/>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sz w:val="18"/>
                <w:szCs w:val="18"/>
              </w:rPr>
            </w:pPr>
            <w:r w:rsidRPr="002125D9">
              <w:rPr>
                <w:rFonts w:cs="Calibri Light"/>
                <w:b w:val="0"/>
                <w:sz w:val="18"/>
                <w:szCs w:val="18"/>
              </w:rPr>
              <w:t>7.</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sz w:val="18"/>
                <w:szCs w:val="18"/>
              </w:rPr>
            </w:pPr>
            <w:r w:rsidRPr="002125D9">
              <w:rPr>
                <w:rFonts w:cs="Calibri Light"/>
                <w:sz w:val="18"/>
                <w:szCs w:val="18"/>
              </w:rPr>
              <w:t>Zmniejszenie funduszy własnych w przypadku spełnienia warunku gwarancji lub w przypadku wykorzystania narzędzi restrukturyzacji (wartość ujemna)</w:t>
            </w:r>
          </w:p>
        </w:tc>
        <w:tc>
          <w:tcPr>
            <w:tcW w:w="1842" w:type="dxa"/>
            <w:tcBorders>
              <w:top w:val="nil"/>
              <w:left w:val="single" w:sz="4" w:space="0" w:color="auto"/>
              <w:bottom w:val="single" w:sz="4" w:space="0" w:color="auto"/>
              <w:right w:val="single" w:sz="4" w:space="0" w:color="auto"/>
            </w:tcBorders>
            <w:shd w:val="clear" w:color="auto" w:fill="auto"/>
          </w:tcPr>
          <w:p w:rsidR="000B083B" w:rsidRPr="00F90F0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F90F09">
              <w:rPr>
                <w:rFonts w:cs="Calibri Light"/>
                <w:sz w:val="18"/>
                <w:szCs w:val="18"/>
              </w:rPr>
              <w:t xml:space="preserve">0,0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F90F09" w:rsidRDefault="000B083B" w:rsidP="00DE5097">
            <w:pPr>
              <w:spacing w:after="0"/>
              <w:ind w:firstLine="0"/>
              <w:jc w:val="right"/>
              <w:rPr>
                <w:rFonts w:cs="Calibri Light"/>
                <w:bCs/>
                <w:sz w:val="18"/>
                <w:szCs w:val="18"/>
                <w:highlight w:val="lightGray"/>
              </w:rPr>
            </w:pPr>
            <w:r w:rsidRPr="00F90F09">
              <w:rPr>
                <w:rFonts w:cs="Calibri Light"/>
                <w:sz w:val="18"/>
                <w:szCs w:val="18"/>
              </w:rPr>
              <w:t xml:space="preserve">0,0 </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F90F09" w:rsidRDefault="000B083B" w:rsidP="00DE5097">
            <w:pPr>
              <w:spacing w:after="0"/>
              <w:ind w:firstLine="0"/>
              <w:jc w:val="right"/>
              <w:rPr>
                <w:rFonts w:cs="Calibri Light"/>
                <w:b w:val="0"/>
                <w:sz w:val="18"/>
                <w:szCs w:val="18"/>
                <w:highlight w:val="lightGray"/>
              </w:rPr>
            </w:pPr>
            <w:r w:rsidRPr="00F90F09">
              <w:rPr>
                <w:rFonts w:cs="Calibri Light"/>
                <w:b w:val="0"/>
                <w:sz w:val="18"/>
                <w:szCs w:val="18"/>
              </w:rPr>
              <w:t>-</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2125D9" w:rsidRDefault="000B083B" w:rsidP="00DE5097">
            <w:pPr>
              <w:spacing w:after="0"/>
              <w:ind w:firstLine="0"/>
              <w:jc w:val="center"/>
              <w:rPr>
                <w:rFonts w:cs="Calibri Light"/>
                <w:b w:val="0"/>
                <w:bCs w:val="0"/>
                <w:sz w:val="18"/>
                <w:szCs w:val="18"/>
              </w:rPr>
            </w:pPr>
            <w:r w:rsidRPr="002125D9">
              <w:rPr>
                <w:rFonts w:cs="Calibri Light"/>
                <w:b w:val="0"/>
                <w:sz w:val="18"/>
                <w:szCs w:val="18"/>
              </w:rPr>
              <w:t>8.</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2125D9" w:rsidRDefault="000B083B" w:rsidP="00DE5097">
            <w:pPr>
              <w:spacing w:after="0"/>
              <w:ind w:firstLine="0"/>
              <w:jc w:val="left"/>
              <w:rPr>
                <w:rFonts w:cs="Calibri Light"/>
                <w:b/>
                <w:bCs/>
                <w:sz w:val="18"/>
                <w:szCs w:val="18"/>
              </w:rPr>
            </w:pPr>
            <w:r w:rsidRPr="002125D9">
              <w:rPr>
                <w:rFonts w:cs="Calibri Light"/>
                <w:sz w:val="18"/>
                <w:szCs w:val="18"/>
              </w:rPr>
              <w:t>Wynik finansowy</w:t>
            </w:r>
          </w:p>
        </w:tc>
        <w:tc>
          <w:tcPr>
            <w:tcW w:w="1842" w:type="dxa"/>
            <w:tcBorders>
              <w:top w:val="nil"/>
              <w:left w:val="single" w:sz="4" w:space="0" w:color="auto"/>
              <w:bottom w:val="single" w:sz="4" w:space="0" w:color="auto"/>
              <w:right w:val="single" w:sz="4" w:space="0" w:color="auto"/>
            </w:tcBorders>
            <w:shd w:val="clear" w:color="auto" w:fill="auto"/>
          </w:tcPr>
          <w:p w:rsidR="000B083B" w:rsidRPr="00EC4B2E"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
                <w:bCs/>
                <w:color w:val="FF0000"/>
                <w:sz w:val="18"/>
                <w:szCs w:val="18"/>
              </w:rPr>
            </w:pPr>
            <w:r w:rsidRPr="00F90F09">
              <w:rPr>
                <w:rFonts w:cs="Calibri Light"/>
                <w:sz w:val="18"/>
                <w:szCs w:val="18"/>
              </w:rPr>
              <w:t xml:space="preserve">435 263,2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sz w:val="18"/>
                <w:szCs w:val="18"/>
              </w:rPr>
            </w:pPr>
            <w:r w:rsidRPr="00F90F09">
              <w:rPr>
                <w:rFonts w:cs="Calibri Light"/>
                <w:sz w:val="18"/>
                <w:szCs w:val="18"/>
              </w:rPr>
              <w:t>754 202,6</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F90F09" w:rsidRDefault="000B083B" w:rsidP="00DE5097">
            <w:pPr>
              <w:spacing w:after="0"/>
              <w:ind w:firstLine="0"/>
              <w:jc w:val="right"/>
              <w:rPr>
                <w:rFonts w:cs="Calibri Light"/>
                <w:b w:val="0"/>
                <w:sz w:val="18"/>
                <w:szCs w:val="18"/>
                <w:highlight w:val="lightGray"/>
              </w:rPr>
            </w:pPr>
            <w:r>
              <w:rPr>
                <w:rFonts w:cs="Calibri Light"/>
                <w:b w:val="0"/>
                <w:sz w:val="18"/>
                <w:szCs w:val="18"/>
              </w:rPr>
              <w:t>173,3</w:t>
            </w:r>
            <w:r w:rsidRPr="00F90F09">
              <w:rPr>
                <w:rFonts w:cs="Calibri Light"/>
                <w:b w:val="0"/>
                <w:sz w:val="18"/>
                <w:szCs w:val="18"/>
              </w:rPr>
              <w:t xml:space="preserve"> </w:t>
            </w:r>
          </w:p>
        </w:tc>
      </w:tr>
      <w:tr w:rsidR="000B083B" w:rsidRPr="002125D9" w:rsidTr="00DE5097">
        <w:trPr>
          <w:trHeight w:val="144"/>
        </w:trPr>
        <w:tc>
          <w:tcPr>
            <w:cnfStyle w:val="001000000000" w:firstRow="0" w:lastRow="0" w:firstColumn="1" w:lastColumn="0" w:oddVBand="0" w:evenVBand="0" w:oddHBand="0" w:evenHBand="0" w:firstRowFirstColumn="0" w:firstRowLastColumn="0" w:lastRowFirstColumn="0" w:lastRowLastColumn="0"/>
            <w:tcW w:w="570" w:type="dxa"/>
          </w:tcPr>
          <w:p w:rsidR="000B083B" w:rsidRPr="002125D9" w:rsidRDefault="000B083B" w:rsidP="00DE5097">
            <w:pPr>
              <w:spacing w:after="0"/>
              <w:ind w:firstLine="0"/>
              <w:jc w:val="center"/>
              <w:rPr>
                <w:rFonts w:cs="Calibri Light"/>
                <w:b w:val="0"/>
                <w:bCs w:val="0"/>
                <w:sz w:val="18"/>
                <w:szCs w:val="18"/>
              </w:rPr>
            </w:pPr>
            <w:r w:rsidRPr="002125D9">
              <w:rPr>
                <w:rFonts w:cs="Calibri Light"/>
                <w:b w:val="0"/>
                <w:sz w:val="18"/>
                <w:szCs w:val="18"/>
              </w:rPr>
              <w:t>9.</w:t>
            </w:r>
          </w:p>
        </w:tc>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rsidR="000B083B" w:rsidRPr="002125D9" w:rsidRDefault="000B083B" w:rsidP="00DE5097">
            <w:pPr>
              <w:spacing w:after="0"/>
              <w:ind w:firstLine="0"/>
              <w:jc w:val="left"/>
              <w:rPr>
                <w:rFonts w:cs="Calibri Light"/>
                <w:b/>
                <w:bCs/>
                <w:sz w:val="18"/>
                <w:szCs w:val="18"/>
              </w:rPr>
            </w:pPr>
            <w:r w:rsidRPr="002125D9">
              <w:rPr>
                <w:rFonts w:cs="Calibri Light"/>
                <w:sz w:val="18"/>
                <w:szCs w:val="18"/>
              </w:rPr>
              <w:t>Wynik finansowy z lat ubiegłych</w:t>
            </w:r>
          </w:p>
        </w:tc>
        <w:tc>
          <w:tcPr>
            <w:tcW w:w="1842" w:type="dxa"/>
            <w:tcBorders>
              <w:top w:val="nil"/>
              <w:left w:val="single" w:sz="4" w:space="0" w:color="auto"/>
              <w:bottom w:val="single" w:sz="4" w:space="0" w:color="auto"/>
              <w:right w:val="single" w:sz="4" w:space="0" w:color="auto"/>
            </w:tcBorders>
            <w:shd w:val="clear" w:color="auto" w:fill="auto"/>
          </w:tcPr>
          <w:p w:rsidR="000B083B" w:rsidRPr="00DF22C8"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b/>
                <w:bCs/>
                <w:sz w:val="18"/>
                <w:szCs w:val="18"/>
              </w:rPr>
            </w:pPr>
            <w:r w:rsidRPr="00DF22C8">
              <w:rPr>
                <w:rFonts w:cs="Calibri Light"/>
                <w:sz w:val="18"/>
                <w:szCs w:val="18"/>
              </w:rPr>
              <w:t xml:space="preserve">0,0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tcPr>
          <w:p w:rsidR="000B083B" w:rsidRPr="00DF22C8" w:rsidRDefault="000B083B" w:rsidP="00DE5097">
            <w:pPr>
              <w:spacing w:after="0"/>
              <w:ind w:firstLine="0"/>
              <w:jc w:val="right"/>
              <w:rPr>
                <w:rFonts w:cs="Calibri Light"/>
                <w:b/>
                <w:sz w:val="18"/>
                <w:szCs w:val="18"/>
                <w:highlight w:val="lightGray"/>
              </w:rPr>
            </w:pPr>
            <w:r w:rsidRPr="00DF22C8">
              <w:rPr>
                <w:rFonts w:cs="Calibri Light"/>
                <w:sz w:val="18"/>
                <w:szCs w:val="18"/>
              </w:rPr>
              <w:t xml:space="preserve">0,0 </w:t>
            </w:r>
          </w:p>
        </w:tc>
        <w:tc>
          <w:tcPr>
            <w:cnfStyle w:val="000100000000" w:firstRow="0" w:lastRow="0" w:firstColumn="0" w:lastColumn="1" w:oddVBand="0" w:evenVBand="0" w:oddHBand="0" w:evenHBand="0" w:firstRowFirstColumn="0" w:firstRowLastColumn="0" w:lastRowFirstColumn="0" w:lastRowLastColumn="0"/>
            <w:tcW w:w="1466" w:type="dxa"/>
          </w:tcPr>
          <w:p w:rsidR="000B083B" w:rsidRPr="00DF22C8" w:rsidRDefault="000B083B" w:rsidP="00DE5097">
            <w:pPr>
              <w:tabs>
                <w:tab w:val="center" w:pos="747"/>
                <w:tab w:val="right" w:pos="1495"/>
              </w:tabs>
              <w:spacing w:after="0"/>
              <w:ind w:firstLine="0"/>
              <w:jc w:val="right"/>
              <w:rPr>
                <w:rFonts w:cs="Calibri Light"/>
                <w:b w:val="0"/>
                <w:sz w:val="18"/>
                <w:szCs w:val="18"/>
                <w:highlight w:val="lightGray"/>
              </w:rPr>
            </w:pPr>
            <w:r w:rsidRPr="00DF22C8">
              <w:rPr>
                <w:rFonts w:cs="Calibri Light"/>
                <w:sz w:val="18"/>
                <w:szCs w:val="18"/>
              </w:rPr>
              <w:t>-</w:t>
            </w:r>
          </w:p>
        </w:tc>
      </w:tr>
      <w:tr w:rsidR="000B083B" w:rsidRPr="003A7A74" w:rsidTr="00DE5097">
        <w:trPr>
          <w:cnfStyle w:val="010000000000" w:firstRow="0" w:lastRow="1"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70" w:type="dxa"/>
            <w:tcBorders>
              <w:top w:val="none" w:sz="0" w:space="0" w:color="auto"/>
              <w:left w:val="none" w:sz="0" w:space="0" w:color="auto"/>
              <w:bottom w:val="none" w:sz="0" w:space="0" w:color="auto"/>
            </w:tcBorders>
          </w:tcPr>
          <w:p w:rsidR="000B083B" w:rsidRPr="003A7A74" w:rsidRDefault="000B083B" w:rsidP="00DE5097">
            <w:pPr>
              <w:spacing w:after="0"/>
              <w:ind w:firstLine="0"/>
              <w:jc w:val="center"/>
              <w:rPr>
                <w:rFonts w:cs="Calibri Light"/>
                <w:b w:val="0"/>
                <w:sz w:val="18"/>
                <w:szCs w:val="18"/>
              </w:rPr>
            </w:pPr>
            <w:r w:rsidRPr="003A7A74">
              <w:rPr>
                <w:rFonts w:cs="Calibri Light"/>
                <w:b w:val="0"/>
                <w:sz w:val="18"/>
                <w:szCs w:val="18"/>
              </w:rPr>
              <w:t>10.</w:t>
            </w:r>
          </w:p>
        </w:tc>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rsidR="000B083B" w:rsidRPr="003A7A74" w:rsidRDefault="000B083B" w:rsidP="00DE5097">
            <w:pPr>
              <w:spacing w:after="0"/>
              <w:ind w:firstLine="0"/>
              <w:jc w:val="left"/>
              <w:rPr>
                <w:rFonts w:cs="Calibri Light"/>
                <w:b w:val="0"/>
                <w:sz w:val="18"/>
                <w:szCs w:val="18"/>
              </w:rPr>
            </w:pPr>
            <w:r w:rsidRPr="003A7A74">
              <w:rPr>
                <w:rFonts w:cs="Calibri Light"/>
                <w:b w:val="0"/>
                <w:sz w:val="18"/>
                <w:szCs w:val="18"/>
              </w:rPr>
              <w:t>Inne pasywa</w:t>
            </w:r>
          </w:p>
        </w:tc>
        <w:tc>
          <w:tcPr>
            <w:tcW w:w="1842" w:type="dxa"/>
            <w:tcBorders>
              <w:top w:val="nil"/>
              <w:left w:val="single" w:sz="4" w:space="0" w:color="auto"/>
              <w:bottom w:val="single" w:sz="4" w:space="0" w:color="auto"/>
              <w:right w:val="single" w:sz="4" w:space="0" w:color="auto"/>
            </w:tcBorders>
            <w:shd w:val="clear" w:color="auto" w:fill="auto"/>
          </w:tcPr>
          <w:p w:rsidR="000B083B" w:rsidRPr="003A7A74" w:rsidRDefault="000B083B" w:rsidP="00DE5097">
            <w:pPr>
              <w:spacing w:after="0"/>
              <w:ind w:firstLine="0"/>
              <w:jc w:val="right"/>
              <w:cnfStyle w:val="010000000000" w:firstRow="0" w:lastRow="1" w:firstColumn="0" w:lastColumn="0" w:oddVBand="0" w:evenVBand="0" w:oddHBand="0" w:evenHBand="0" w:firstRowFirstColumn="0" w:firstRowLastColumn="0" w:lastRowFirstColumn="0" w:lastRowLastColumn="0"/>
              <w:rPr>
                <w:rFonts w:cs="Calibri Light"/>
                <w:b w:val="0"/>
                <w:sz w:val="18"/>
                <w:szCs w:val="18"/>
              </w:rPr>
            </w:pPr>
            <w:r w:rsidRPr="003A7A74">
              <w:rPr>
                <w:rFonts w:cs="Calibri Light"/>
                <w:b w:val="0"/>
                <w:sz w:val="18"/>
                <w:szCs w:val="18"/>
              </w:rPr>
              <w:t xml:space="preserve">32 866,8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rsidR="000B083B" w:rsidRPr="003A7A74" w:rsidRDefault="000B083B" w:rsidP="00DE5097">
            <w:pPr>
              <w:spacing w:after="0"/>
              <w:ind w:firstLine="0"/>
              <w:jc w:val="right"/>
              <w:rPr>
                <w:rFonts w:cs="Calibri Light"/>
                <w:b w:val="0"/>
                <w:sz w:val="18"/>
                <w:szCs w:val="18"/>
                <w:highlight w:val="lightGray"/>
              </w:rPr>
            </w:pPr>
            <w:r w:rsidRPr="003A7A74">
              <w:rPr>
                <w:rFonts w:cs="Calibri Light"/>
                <w:b w:val="0"/>
                <w:sz w:val="18"/>
                <w:szCs w:val="18"/>
              </w:rPr>
              <w:t xml:space="preserve">182 886,7 </w:t>
            </w:r>
          </w:p>
        </w:tc>
        <w:tc>
          <w:tcPr>
            <w:cnfStyle w:val="000100000000" w:firstRow="0" w:lastRow="0" w:firstColumn="0" w:lastColumn="1" w:oddVBand="0" w:evenVBand="0" w:oddHBand="0" w:evenHBand="0" w:firstRowFirstColumn="0" w:firstRowLastColumn="0" w:lastRowFirstColumn="0" w:lastRowLastColumn="0"/>
            <w:tcW w:w="1466" w:type="dxa"/>
            <w:tcBorders>
              <w:top w:val="none" w:sz="0" w:space="0" w:color="auto"/>
              <w:bottom w:val="none" w:sz="0" w:space="0" w:color="auto"/>
              <w:right w:val="none" w:sz="0" w:space="0" w:color="auto"/>
            </w:tcBorders>
          </w:tcPr>
          <w:p w:rsidR="000B083B" w:rsidRPr="003A7A74" w:rsidRDefault="000B083B" w:rsidP="00DE5097">
            <w:pPr>
              <w:spacing w:after="0"/>
              <w:ind w:firstLine="0"/>
              <w:jc w:val="right"/>
              <w:rPr>
                <w:rFonts w:cs="Calibri Light"/>
                <w:b w:val="0"/>
                <w:sz w:val="18"/>
                <w:szCs w:val="18"/>
                <w:highlight w:val="lightGray"/>
              </w:rPr>
            </w:pPr>
            <w:r w:rsidRPr="003A7A74">
              <w:rPr>
                <w:rFonts w:cs="Calibri Light"/>
                <w:b w:val="0"/>
                <w:sz w:val="18"/>
                <w:szCs w:val="18"/>
              </w:rPr>
              <w:t xml:space="preserve">556,4 </w:t>
            </w:r>
          </w:p>
        </w:tc>
      </w:tr>
    </w:tbl>
    <w:p w:rsidR="000B083B" w:rsidRPr="003A7A74" w:rsidRDefault="000B083B" w:rsidP="000B083B">
      <w:pPr>
        <w:rPr>
          <w:sz w:val="6"/>
          <w:szCs w:val="6"/>
          <w:highlight w:val="lightGray"/>
        </w:rPr>
      </w:pPr>
    </w:p>
    <w:p w:rsidR="000B083B" w:rsidRPr="003F7E3E" w:rsidRDefault="000B083B" w:rsidP="000B083B">
      <w:pPr>
        <w:spacing w:after="120"/>
      </w:pPr>
      <w:r w:rsidRPr="003F7E3E">
        <w:t xml:space="preserve">Należności od instytucji finansowych </w:t>
      </w:r>
      <w:r>
        <w:t xml:space="preserve">obejmują </w:t>
      </w:r>
      <w:r w:rsidRPr="003F7E3E">
        <w:t>składk</w:t>
      </w:r>
      <w:r>
        <w:t>i wniesione</w:t>
      </w:r>
      <w:r w:rsidRPr="003F7E3E">
        <w:t xml:space="preserve"> w formie zobowiązań do zapłaty od banków i kas w wysokości 3 420 375,4</w:t>
      </w:r>
      <w:r>
        <w:t> tys. zł.</w:t>
      </w:r>
    </w:p>
    <w:p w:rsidR="000B083B" w:rsidRPr="003F7E3E" w:rsidRDefault="000B083B" w:rsidP="000B083B">
      <w:pPr>
        <w:spacing w:before="120" w:after="120"/>
        <w:ind w:left="357" w:firstLine="0"/>
      </w:pPr>
      <w:r w:rsidRPr="003F7E3E">
        <w:t>Pozycja papiery wartościowe i inne aktywa finansowe (</w:t>
      </w:r>
      <w:r>
        <w:t>62,6</w:t>
      </w:r>
      <w:r w:rsidRPr="003F7E3E">
        <w:t xml:space="preserve"> % sumy bilansowej) obejmuje:</w:t>
      </w:r>
    </w:p>
    <w:p w:rsidR="000B083B" w:rsidRPr="00B5755A" w:rsidRDefault="000B083B" w:rsidP="000B083B">
      <w:pPr>
        <w:pStyle w:val="Akapitzlist"/>
        <w:numPr>
          <w:ilvl w:val="0"/>
          <w:numId w:val="38"/>
        </w:numPr>
        <w:spacing w:after="0"/>
        <w:ind w:left="714" w:hanging="357"/>
        <w:rPr>
          <w:rFonts w:eastAsia="Palatino Linotype"/>
        </w:rPr>
      </w:pPr>
      <w:r w:rsidRPr="00B5755A">
        <w:rPr>
          <w:rFonts w:eastAsia="Palatino Linotype"/>
        </w:rPr>
        <w:t xml:space="preserve">obligacje skarbowe w wysokości </w:t>
      </w:r>
      <w:r w:rsidRPr="003F7E3E">
        <w:t>17 324 849,4</w:t>
      </w:r>
      <w:r w:rsidRPr="00B5755A">
        <w:rPr>
          <w:rFonts w:ascii="Calibri" w:eastAsia="Times New Roman" w:hAnsi="Calibri" w:cs="Calibri"/>
          <w:b/>
          <w:bCs/>
          <w:sz w:val="20"/>
          <w:szCs w:val="20"/>
        </w:rPr>
        <w:t xml:space="preserve"> </w:t>
      </w:r>
      <w:r w:rsidRPr="00B5755A">
        <w:rPr>
          <w:rFonts w:eastAsia="Palatino Linotype"/>
        </w:rPr>
        <w:t>tys. zł;</w:t>
      </w:r>
    </w:p>
    <w:p w:rsidR="000B083B" w:rsidRPr="003F7E3E" w:rsidRDefault="000B083B" w:rsidP="000B083B">
      <w:pPr>
        <w:pStyle w:val="Akapitzlist"/>
        <w:numPr>
          <w:ilvl w:val="0"/>
          <w:numId w:val="38"/>
        </w:numPr>
        <w:spacing w:after="0"/>
      </w:pPr>
      <w:r w:rsidRPr="003F7E3E">
        <w:t xml:space="preserve">papiery wartościowe gwarantowane przez Skarb Państwa lub NBP </w:t>
      </w:r>
      <w:r w:rsidRPr="003F7E3E">
        <w:rPr>
          <w:lang w:eastAsia="en-US"/>
        </w:rPr>
        <w:t xml:space="preserve">w wysokości 1 683 824,3 tys. zł; </w:t>
      </w:r>
    </w:p>
    <w:p w:rsidR="000B083B" w:rsidRPr="009A610B" w:rsidRDefault="000B083B" w:rsidP="000B083B">
      <w:pPr>
        <w:numPr>
          <w:ilvl w:val="0"/>
          <w:numId w:val="36"/>
        </w:numPr>
        <w:spacing w:after="120"/>
        <w:ind w:left="714" w:hanging="357"/>
      </w:pPr>
      <w:r w:rsidRPr="003F7E3E">
        <w:t xml:space="preserve">pozostałe papiery </w:t>
      </w:r>
      <w:r>
        <w:t>wartościowe w wysokości 700 100</w:t>
      </w:r>
      <w:r w:rsidRPr="009A610B">
        <w:t>,</w:t>
      </w:r>
      <w:r>
        <w:t>0</w:t>
      </w:r>
      <w:r w:rsidRPr="009A610B">
        <w:t> tys. zł.</w:t>
      </w:r>
    </w:p>
    <w:p w:rsidR="000B083B" w:rsidRPr="00741312" w:rsidRDefault="000B083B" w:rsidP="000B083B">
      <w:pPr>
        <w:spacing w:after="120"/>
        <w:ind w:left="357" w:firstLine="0"/>
      </w:pPr>
      <w:r w:rsidRPr="00741312">
        <w:t xml:space="preserve">Pozycja inne aktywa obejmuje: </w:t>
      </w:r>
    </w:p>
    <w:p w:rsidR="000B083B" w:rsidRPr="008E7827" w:rsidRDefault="000B083B" w:rsidP="000B083B">
      <w:pPr>
        <w:pStyle w:val="Akapitzlist"/>
        <w:numPr>
          <w:ilvl w:val="0"/>
          <w:numId w:val="36"/>
        </w:numPr>
        <w:spacing w:after="0"/>
        <w:rPr>
          <w:rFonts w:ascii="Calibri" w:eastAsia="Times New Roman" w:hAnsi="Calibri" w:cs="Calibri"/>
          <w:sz w:val="20"/>
          <w:szCs w:val="20"/>
        </w:rPr>
      </w:pPr>
      <w:r w:rsidRPr="008E7827">
        <w:rPr>
          <w:rFonts w:eastAsia="Palatino Linotype"/>
        </w:rPr>
        <w:t>środki pieniężne na rachunkach bankowych i w kasie w wysokości 8</w:t>
      </w:r>
      <w:r>
        <w:rPr>
          <w:rFonts w:eastAsia="Palatino Linotype"/>
        </w:rPr>
        <w:t> </w:t>
      </w:r>
      <w:r w:rsidRPr="008E7827">
        <w:rPr>
          <w:rFonts w:eastAsia="Palatino Linotype"/>
        </w:rPr>
        <w:t>292</w:t>
      </w:r>
      <w:r>
        <w:rPr>
          <w:rFonts w:eastAsia="Palatino Linotype"/>
        </w:rPr>
        <w:t> 282,9</w:t>
      </w:r>
      <w:r w:rsidRPr="008E7827">
        <w:rPr>
          <w:rFonts w:eastAsia="Palatino Linotype"/>
        </w:rPr>
        <w:t xml:space="preserve"> tys. zł; </w:t>
      </w:r>
    </w:p>
    <w:p w:rsidR="000B083B" w:rsidRPr="00B43BD6" w:rsidRDefault="000B083B" w:rsidP="000B083B">
      <w:pPr>
        <w:pStyle w:val="Akapitzlist"/>
        <w:numPr>
          <w:ilvl w:val="0"/>
          <w:numId w:val="36"/>
        </w:numPr>
        <w:spacing w:after="0"/>
        <w:rPr>
          <w:rFonts w:eastAsia="Palatino Linotype"/>
        </w:rPr>
      </w:pPr>
      <w:r w:rsidRPr="00B43BD6">
        <w:rPr>
          <w:rFonts w:eastAsia="Palatino Linotype"/>
        </w:rPr>
        <w:t xml:space="preserve">pozostałe należności i roszczenia w wysokości 236,5 tys. zł; </w:t>
      </w:r>
    </w:p>
    <w:p w:rsidR="000B083B" w:rsidRPr="00B43BD6" w:rsidRDefault="000B083B" w:rsidP="000B083B">
      <w:pPr>
        <w:pStyle w:val="Akapitzlist"/>
        <w:numPr>
          <w:ilvl w:val="0"/>
          <w:numId w:val="36"/>
        </w:numPr>
        <w:spacing w:after="120"/>
        <w:ind w:left="714" w:hanging="357"/>
        <w:contextualSpacing w:val="0"/>
        <w:rPr>
          <w:rFonts w:eastAsia="Palatino Linotype"/>
        </w:rPr>
      </w:pPr>
      <w:r w:rsidRPr="008E7827">
        <w:rPr>
          <w:rFonts w:eastAsia="Palatino Linotype"/>
        </w:rPr>
        <w:t>rozliczenia międzyo</w:t>
      </w:r>
      <w:r>
        <w:rPr>
          <w:rFonts w:eastAsia="Palatino Linotype"/>
        </w:rPr>
        <w:t>kresowe czynne w wysokości 1 469</w:t>
      </w:r>
      <w:r w:rsidRPr="008E7827">
        <w:rPr>
          <w:rFonts w:eastAsia="Palatino Linotype"/>
        </w:rPr>
        <w:t>,</w:t>
      </w:r>
      <w:r>
        <w:rPr>
          <w:rFonts w:eastAsia="Palatino Linotype"/>
        </w:rPr>
        <w:t>1</w:t>
      </w:r>
      <w:r w:rsidRPr="008E7827">
        <w:rPr>
          <w:rFonts w:eastAsia="Palatino Linotype"/>
        </w:rPr>
        <w:t xml:space="preserve"> tys. zł </w:t>
      </w:r>
      <w:r w:rsidRPr="00B43BD6">
        <w:rPr>
          <w:rFonts w:eastAsia="Palatino Linotype"/>
        </w:rPr>
        <w:t>dotyczące m.in.: zapłaconych abonamentów rocznych za licencje na oprogramowanie komputerowe, dostępu do wydawnictw w formie elektronicznej, ubezpieczeń oraz rocznych składek członkowskich IADI – rozliczane proporcjonalnie do upływu czasu.</w:t>
      </w:r>
    </w:p>
    <w:p w:rsidR="000B083B" w:rsidRPr="002125D9" w:rsidRDefault="000B083B" w:rsidP="000B083B">
      <w:pPr>
        <w:spacing w:after="60"/>
        <w:ind w:firstLine="0"/>
        <w:jc w:val="left"/>
        <w:rPr>
          <w:rFonts w:eastAsia="Times New Roman"/>
          <w:b/>
          <w:bCs/>
          <w:sz w:val="22"/>
          <w:szCs w:val="22"/>
        </w:rPr>
      </w:pPr>
      <w:r w:rsidRPr="002125D9">
        <w:rPr>
          <w:rFonts w:eastAsia="Times New Roman"/>
          <w:b/>
          <w:bCs/>
          <w:sz w:val="22"/>
          <w:szCs w:val="22"/>
        </w:rPr>
        <w:t>Tabela 1</w:t>
      </w:r>
      <w:r>
        <w:rPr>
          <w:rFonts w:eastAsia="Times New Roman"/>
          <w:b/>
          <w:bCs/>
          <w:sz w:val="22"/>
          <w:szCs w:val="22"/>
        </w:rPr>
        <w:t>3</w:t>
      </w:r>
      <w:r w:rsidRPr="002125D9">
        <w:rPr>
          <w:rFonts w:eastAsia="Times New Roman"/>
          <w:b/>
          <w:bCs/>
          <w:sz w:val="22"/>
          <w:szCs w:val="22"/>
        </w:rPr>
        <w:t xml:space="preserve">. Fundusze BFG </w:t>
      </w:r>
    </w:p>
    <w:tbl>
      <w:tblPr>
        <w:tblStyle w:val="Jasnalistaakcent112"/>
        <w:tblW w:w="93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686"/>
        <w:gridCol w:w="1842"/>
        <w:gridCol w:w="1843"/>
        <w:gridCol w:w="1425"/>
      </w:tblGrid>
      <w:tr w:rsidR="000B083B" w:rsidRPr="002125D9" w:rsidTr="00DE509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72" w:type="dxa"/>
            <w:vMerge w:val="restart"/>
            <w:shd w:val="clear" w:color="auto" w:fill="2A5384"/>
            <w:vAlign w:val="center"/>
            <w:hideMark/>
          </w:tcPr>
          <w:p w:rsidR="000B083B" w:rsidRPr="002125D9" w:rsidRDefault="000B083B" w:rsidP="00DE5097">
            <w:pPr>
              <w:spacing w:after="0" w:afterAutospacing="0"/>
              <w:ind w:firstLine="0"/>
              <w:jc w:val="center"/>
              <w:rPr>
                <w:rFonts w:eastAsia="Times New Roman" w:cs="Calibri Light"/>
                <w:bCs w:val="0"/>
                <w:color w:val="FFFFFF"/>
                <w:sz w:val="18"/>
                <w:szCs w:val="18"/>
              </w:rPr>
            </w:pPr>
            <w:r w:rsidRPr="002125D9">
              <w:rPr>
                <w:rFonts w:eastAsia="Times New Roman" w:cs="Calibri Light"/>
                <w:bCs w:val="0"/>
                <w:color w:val="FFFFFF"/>
                <w:sz w:val="18"/>
                <w:szCs w:val="18"/>
              </w:rPr>
              <w:t>Lp.</w:t>
            </w:r>
          </w:p>
        </w:tc>
        <w:tc>
          <w:tcPr>
            <w:tcW w:w="3686" w:type="dxa"/>
            <w:vMerge w:val="restart"/>
            <w:shd w:val="clear" w:color="auto" w:fill="2A5384"/>
            <w:vAlign w:val="center"/>
            <w:hideMark/>
          </w:tcPr>
          <w:p w:rsidR="000B083B" w:rsidRPr="002125D9" w:rsidRDefault="000B083B" w:rsidP="00DE5097">
            <w:pPr>
              <w:spacing w:after="0" w:afterAutospacing="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Calibri Light"/>
                <w:bCs w:val="0"/>
                <w:color w:val="FFFFFF"/>
                <w:sz w:val="18"/>
                <w:szCs w:val="18"/>
              </w:rPr>
            </w:pPr>
            <w:r w:rsidRPr="002125D9">
              <w:rPr>
                <w:rFonts w:eastAsia="Times New Roman" w:cs="Calibri Light"/>
                <w:bCs w:val="0"/>
                <w:color w:val="FFFFFF"/>
                <w:sz w:val="18"/>
                <w:szCs w:val="18"/>
              </w:rPr>
              <w:t>Fundusze</w:t>
            </w:r>
          </w:p>
        </w:tc>
        <w:tc>
          <w:tcPr>
            <w:tcW w:w="1842" w:type="dxa"/>
            <w:vMerge w:val="restart"/>
            <w:shd w:val="clear" w:color="auto" w:fill="2A5384"/>
            <w:vAlign w:val="center"/>
            <w:hideMark/>
          </w:tcPr>
          <w:p w:rsidR="000B083B" w:rsidRDefault="000B083B" w:rsidP="00DE5097">
            <w:pPr>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Calibri Light"/>
                <w:bCs w:val="0"/>
                <w:color w:val="FFFFFF"/>
                <w:sz w:val="18"/>
                <w:szCs w:val="18"/>
              </w:rPr>
            </w:pPr>
            <w:r w:rsidRPr="002125D9">
              <w:rPr>
                <w:rFonts w:eastAsia="Times New Roman" w:cs="Calibri Light"/>
                <w:bCs w:val="0"/>
                <w:color w:val="FFFFFF"/>
                <w:sz w:val="18"/>
                <w:szCs w:val="18"/>
              </w:rPr>
              <w:t xml:space="preserve">Plan na 2022 r. </w:t>
            </w:r>
          </w:p>
          <w:p w:rsidR="000B083B" w:rsidRPr="002125D9" w:rsidRDefault="000B083B" w:rsidP="00DE5097">
            <w:pPr>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Calibri Light"/>
                <w:bCs w:val="0"/>
                <w:color w:val="FFFFFF"/>
                <w:sz w:val="18"/>
                <w:szCs w:val="18"/>
              </w:rPr>
            </w:pPr>
            <w:r w:rsidRPr="002125D9">
              <w:rPr>
                <w:rFonts w:eastAsia="Times New Roman" w:cs="Calibri Light"/>
                <w:b w:val="0"/>
                <w:bCs w:val="0"/>
                <w:color w:val="FFFFFF"/>
                <w:sz w:val="18"/>
                <w:szCs w:val="18"/>
              </w:rPr>
              <w:t>(tys. zł)</w:t>
            </w:r>
          </w:p>
        </w:tc>
        <w:tc>
          <w:tcPr>
            <w:tcW w:w="1843" w:type="dxa"/>
            <w:vMerge w:val="restart"/>
            <w:shd w:val="clear" w:color="auto" w:fill="2A5384"/>
            <w:vAlign w:val="center"/>
            <w:hideMark/>
          </w:tcPr>
          <w:p w:rsidR="000B083B" w:rsidRPr="002125D9" w:rsidRDefault="000B083B" w:rsidP="00DE5097">
            <w:pPr>
              <w:spacing w:after="0" w:afterAutospacing="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Calibri Light"/>
                <w:bCs w:val="0"/>
                <w:color w:val="FFFFFF"/>
                <w:sz w:val="18"/>
                <w:szCs w:val="18"/>
              </w:rPr>
            </w:pPr>
            <w:r w:rsidRPr="002125D9">
              <w:rPr>
                <w:rFonts w:eastAsia="Times New Roman" w:cs="Calibri Light"/>
                <w:bCs w:val="0"/>
                <w:color w:val="FFFFFF"/>
                <w:sz w:val="18"/>
                <w:szCs w:val="18"/>
              </w:rPr>
              <w:t xml:space="preserve">Wykonanie na </w:t>
            </w:r>
            <w:r w:rsidRPr="002125D9">
              <w:rPr>
                <w:rFonts w:eastAsia="Times New Roman" w:cs="Calibri Light"/>
                <w:bCs w:val="0"/>
                <w:color w:val="FFFFFF"/>
                <w:sz w:val="18"/>
                <w:szCs w:val="18"/>
              </w:rPr>
              <w:br/>
              <w:t xml:space="preserve">30 </w:t>
            </w:r>
            <w:r>
              <w:rPr>
                <w:rFonts w:eastAsia="Times New Roman" w:cs="Calibri Light"/>
                <w:bCs w:val="0"/>
                <w:color w:val="FFFFFF"/>
                <w:sz w:val="18"/>
                <w:szCs w:val="18"/>
              </w:rPr>
              <w:t>września</w:t>
            </w:r>
            <w:r w:rsidRPr="002125D9">
              <w:rPr>
                <w:rFonts w:eastAsia="Times New Roman" w:cs="Calibri Light"/>
                <w:bCs w:val="0"/>
                <w:color w:val="FFFFFF"/>
                <w:sz w:val="18"/>
                <w:szCs w:val="18"/>
              </w:rPr>
              <w:t xml:space="preserve"> 2022 r. </w:t>
            </w:r>
            <w:r w:rsidRPr="002125D9">
              <w:rPr>
                <w:rFonts w:eastAsia="Times New Roman" w:cs="Calibri Light"/>
                <w:bCs w:val="0"/>
                <w:color w:val="FFFFFF"/>
                <w:sz w:val="18"/>
                <w:szCs w:val="18"/>
              </w:rPr>
              <w:br/>
            </w:r>
            <w:r w:rsidRPr="002125D9">
              <w:rPr>
                <w:rFonts w:eastAsia="Times New Roman" w:cs="Calibri Light"/>
                <w:b w:val="0"/>
                <w:bCs w:val="0"/>
                <w:color w:val="FFFFFF"/>
                <w:sz w:val="18"/>
                <w:szCs w:val="18"/>
              </w:rPr>
              <w:t>(tys. zł)</w:t>
            </w:r>
          </w:p>
        </w:tc>
        <w:tc>
          <w:tcPr>
            <w:tcW w:w="1425" w:type="dxa"/>
            <w:vMerge w:val="restart"/>
            <w:shd w:val="clear" w:color="auto" w:fill="2A5384"/>
            <w:vAlign w:val="center"/>
            <w:hideMark/>
          </w:tcPr>
          <w:p w:rsidR="000B083B" w:rsidRPr="002125D9" w:rsidRDefault="000B083B" w:rsidP="00DE5097">
            <w:pPr>
              <w:spacing w:after="0" w:afterAutospacing="0"/>
              <w:ind w:firstLine="0"/>
              <w:jc w:val="center"/>
              <w:cnfStyle w:val="100000000000" w:firstRow="1" w:lastRow="0" w:firstColumn="0" w:lastColumn="0" w:oddVBand="0" w:evenVBand="0" w:oddHBand="0" w:evenHBand="0" w:firstRowFirstColumn="0" w:firstRowLastColumn="0" w:lastRowFirstColumn="0" w:lastRowLastColumn="0"/>
              <w:rPr>
                <w:rFonts w:eastAsia="Times New Roman" w:cs="Calibri Light"/>
                <w:bCs w:val="0"/>
                <w:color w:val="FFFFFF"/>
                <w:sz w:val="18"/>
                <w:szCs w:val="18"/>
              </w:rPr>
            </w:pPr>
            <w:r w:rsidRPr="002125D9">
              <w:rPr>
                <w:rFonts w:eastAsia="Times New Roman" w:cs="Calibri Light"/>
                <w:bCs w:val="0"/>
                <w:color w:val="FFFFFF"/>
                <w:sz w:val="18"/>
                <w:szCs w:val="18"/>
              </w:rPr>
              <w:t>Wskaźnik realizacji planu rocznego (%)</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72" w:type="dxa"/>
            <w:vMerge/>
            <w:tcBorders>
              <w:top w:val="none" w:sz="0" w:space="0" w:color="auto"/>
              <w:left w:val="none" w:sz="0" w:space="0" w:color="auto"/>
              <w:bottom w:val="none" w:sz="0" w:space="0" w:color="auto"/>
            </w:tcBorders>
            <w:shd w:val="clear" w:color="auto" w:fill="2A5384"/>
            <w:hideMark/>
          </w:tcPr>
          <w:p w:rsidR="000B083B" w:rsidRPr="002125D9" w:rsidRDefault="000B083B" w:rsidP="00DE5097">
            <w:pPr>
              <w:spacing w:after="0"/>
              <w:ind w:firstLine="0"/>
              <w:jc w:val="left"/>
              <w:rPr>
                <w:rFonts w:eastAsia="Times New Roman" w:cs="Calibri Light"/>
                <w:b w:val="0"/>
                <w:bCs w:val="0"/>
                <w:color w:val="FFFFFF"/>
                <w:sz w:val="18"/>
                <w:szCs w:val="18"/>
                <w:highlight w:val="lightGray"/>
              </w:rPr>
            </w:pPr>
          </w:p>
        </w:tc>
        <w:tc>
          <w:tcPr>
            <w:tcW w:w="3686" w:type="dxa"/>
            <w:vMerge/>
            <w:tcBorders>
              <w:top w:val="none" w:sz="0" w:space="0" w:color="auto"/>
              <w:bottom w:val="none" w:sz="0" w:space="0" w:color="auto"/>
            </w:tcBorders>
            <w:shd w:val="clear" w:color="auto" w:fill="2A5384"/>
            <w:hideMark/>
          </w:tcPr>
          <w:p w:rsidR="000B083B" w:rsidRPr="002125D9" w:rsidRDefault="000B083B" w:rsidP="00DE5097">
            <w:pPr>
              <w:spacing w:after="0"/>
              <w:ind w:firstLine="0"/>
              <w:jc w:val="left"/>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FFFFFF"/>
                <w:sz w:val="18"/>
                <w:szCs w:val="18"/>
                <w:highlight w:val="lightGray"/>
              </w:rPr>
            </w:pPr>
          </w:p>
        </w:tc>
        <w:tc>
          <w:tcPr>
            <w:tcW w:w="1842" w:type="dxa"/>
            <w:vMerge/>
            <w:tcBorders>
              <w:top w:val="none" w:sz="0" w:space="0" w:color="auto"/>
              <w:bottom w:val="none" w:sz="0" w:space="0" w:color="auto"/>
            </w:tcBorders>
            <w:shd w:val="clear" w:color="auto" w:fill="2A5384"/>
            <w:hideMark/>
          </w:tcPr>
          <w:p w:rsidR="000B083B" w:rsidRPr="002125D9" w:rsidRDefault="000B083B" w:rsidP="00DE5097">
            <w:pPr>
              <w:spacing w:after="0"/>
              <w:ind w:firstLine="0"/>
              <w:jc w:val="left"/>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FFFFFF"/>
                <w:sz w:val="18"/>
                <w:szCs w:val="18"/>
                <w:highlight w:val="lightGray"/>
              </w:rPr>
            </w:pPr>
          </w:p>
        </w:tc>
        <w:tc>
          <w:tcPr>
            <w:tcW w:w="1843" w:type="dxa"/>
            <w:vMerge/>
            <w:tcBorders>
              <w:top w:val="none" w:sz="0" w:space="0" w:color="auto"/>
              <w:bottom w:val="none" w:sz="0" w:space="0" w:color="auto"/>
            </w:tcBorders>
            <w:shd w:val="clear" w:color="auto" w:fill="2A5384"/>
            <w:hideMark/>
          </w:tcPr>
          <w:p w:rsidR="000B083B" w:rsidRPr="002125D9" w:rsidRDefault="000B083B" w:rsidP="00DE5097">
            <w:pPr>
              <w:spacing w:after="0"/>
              <w:ind w:firstLine="0"/>
              <w:jc w:val="left"/>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FFFFFF"/>
                <w:sz w:val="18"/>
                <w:szCs w:val="18"/>
                <w:highlight w:val="lightGray"/>
              </w:rPr>
            </w:pPr>
          </w:p>
        </w:tc>
        <w:tc>
          <w:tcPr>
            <w:tcW w:w="1425" w:type="dxa"/>
            <w:vMerge/>
            <w:tcBorders>
              <w:top w:val="none" w:sz="0" w:space="0" w:color="auto"/>
              <w:bottom w:val="none" w:sz="0" w:space="0" w:color="auto"/>
              <w:right w:val="none" w:sz="0" w:space="0" w:color="auto"/>
            </w:tcBorders>
            <w:shd w:val="clear" w:color="auto" w:fill="2A5384"/>
            <w:hideMark/>
          </w:tcPr>
          <w:p w:rsidR="000B083B" w:rsidRPr="002125D9" w:rsidRDefault="000B083B" w:rsidP="00DE5097">
            <w:pPr>
              <w:spacing w:after="0"/>
              <w:ind w:firstLine="0"/>
              <w:jc w:val="left"/>
              <w:cnfStyle w:val="000000100000" w:firstRow="0" w:lastRow="0" w:firstColumn="0" w:lastColumn="0" w:oddVBand="0" w:evenVBand="0" w:oddHBand="1" w:evenHBand="0" w:firstRowFirstColumn="0" w:firstRowLastColumn="0" w:lastRowFirstColumn="0" w:lastRowLastColumn="0"/>
              <w:rPr>
                <w:rFonts w:eastAsia="Times New Roman" w:cs="Calibri Light"/>
                <w:b/>
                <w:bCs/>
                <w:color w:val="FFFFFF"/>
                <w:sz w:val="18"/>
                <w:szCs w:val="18"/>
                <w:highlight w:val="lightGray"/>
              </w:rPr>
            </w:pPr>
          </w:p>
        </w:tc>
      </w:tr>
      <w:tr w:rsidR="000B083B" w:rsidRPr="002125D9" w:rsidTr="00DE5097">
        <w:trPr>
          <w:trHeight w:val="266"/>
        </w:trPr>
        <w:tc>
          <w:tcPr>
            <w:cnfStyle w:val="001000000000" w:firstRow="0" w:lastRow="0" w:firstColumn="1" w:lastColumn="0" w:oddVBand="0" w:evenVBand="0" w:oddHBand="0" w:evenHBand="0" w:firstRowFirstColumn="0" w:firstRowLastColumn="0" w:lastRowFirstColumn="0" w:lastRowLastColumn="0"/>
            <w:tcW w:w="572" w:type="dxa"/>
            <w:vAlign w:val="center"/>
          </w:tcPr>
          <w:p w:rsidR="000B083B" w:rsidRPr="002125D9" w:rsidRDefault="000B083B" w:rsidP="00DE5097">
            <w:pPr>
              <w:spacing w:after="0"/>
              <w:ind w:firstLine="0"/>
              <w:jc w:val="center"/>
              <w:rPr>
                <w:rFonts w:eastAsia="Times New Roman" w:cs="Calibri Light"/>
                <w:b w:val="0"/>
                <w:color w:val="000000"/>
                <w:sz w:val="18"/>
                <w:szCs w:val="18"/>
              </w:rPr>
            </w:pPr>
            <w:r w:rsidRPr="002125D9">
              <w:rPr>
                <w:rFonts w:eastAsia="Times New Roman" w:cs="Calibri Light"/>
                <w:b w:val="0"/>
                <w:color w:val="000000"/>
                <w:sz w:val="18"/>
                <w:szCs w:val="18"/>
              </w:rPr>
              <w:t>1.</w:t>
            </w:r>
          </w:p>
        </w:tc>
        <w:tc>
          <w:tcPr>
            <w:tcW w:w="3686" w:type="dxa"/>
            <w:vAlign w:val="center"/>
          </w:tcPr>
          <w:p w:rsidR="000B083B" w:rsidRPr="002125D9" w:rsidRDefault="000B083B" w:rsidP="00DE5097">
            <w:pPr>
              <w:spacing w:after="0"/>
              <w:ind w:firstLine="0"/>
              <w:jc w:val="lef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8"/>
                <w:szCs w:val="18"/>
              </w:rPr>
            </w:pPr>
            <w:r w:rsidRPr="002125D9">
              <w:rPr>
                <w:rFonts w:eastAsia="Times New Roman" w:cs="Calibri Light"/>
                <w:color w:val="000000"/>
                <w:sz w:val="18"/>
                <w:szCs w:val="18"/>
              </w:rPr>
              <w:t>Fundusze własne bez wyniku finansowego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Pr>
                <w:rFonts w:cs="Calibri Light"/>
                <w:color w:val="000000"/>
                <w:sz w:val="18"/>
                <w:szCs w:val="18"/>
              </w:rPr>
              <w:t>24 746 683,9</w:t>
            </w:r>
            <w:r w:rsidRPr="002125D9">
              <w:rPr>
                <w:rFonts w:cs="Calibri Light"/>
                <w:color w:val="000000"/>
                <w:sz w:val="18"/>
                <w:szCs w:val="18"/>
              </w:rPr>
              <w:t xml:space="preserve"> </w:t>
            </w:r>
          </w:p>
        </w:tc>
        <w:tc>
          <w:tcPr>
            <w:tcW w:w="1843" w:type="dxa"/>
            <w:vAlign w:val="center"/>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highlight w:val="lightGray"/>
              </w:rPr>
            </w:pPr>
            <w:r>
              <w:rPr>
                <w:rFonts w:cs="Calibri Light"/>
                <w:color w:val="000000"/>
                <w:sz w:val="18"/>
                <w:szCs w:val="18"/>
              </w:rPr>
              <w:t>30 541 016,2</w:t>
            </w:r>
            <w:r w:rsidRPr="002125D9">
              <w:rPr>
                <w:rFonts w:cs="Calibri Light"/>
                <w:color w:val="000000"/>
                <w:sz w:val="18"/>
                <w:szCs w:val="18"/>
              </w:rPr>
              <w:t xml:space="preserve"> </w:t>
            </w:r>
          </w:p>
        </w:tc>
        <w:tc>
          <w:tcPr>
            <w:tcW w:w="1425" w:type="dxa"/>
            <w:vAlign w:val="center"/>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highlight w:val="lightGray"/>
              </w:rPr>
            </w:pPr>
            <w:r>
              <w:rPr>
                <w:rFonts w:cs="Calibri Light"/>
                <w:color w:val="000000"/>
                <w:sz w:val="18"/>
                <w:szCs w:val="18"/>
              </w:rPr>
              <w:t>123,4</w:t>
            </w:r>
            <w:r w:rsidRPr="002125D9">
              <w:rPr>
                <w:rFonts w:cs="Calibri Light"/>
                <w:color w:val="000000"/>
                <w:sz w:val="18"/>
                <w:szCs w:val="18"/>
              </w:rPr>
              <w:t xml:space="preserve"> </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vAlign w:val="center"/>
            <w:hideMark/>
          </w:tcPr>
          <w:p w:rsidR="000B083B" w:rsidRPr="002125D9" w:rsidRDefault="000B083B" w:rsidP="00DE5097">
            <w:pPr>
              <w:spacing w:after="0"/>
              <w:ind w:firstLine="0"/>
              <w:jc w:val="center"/>
              <w:rPr>
                <w:rFonts w:eastAsia="Times New Roman" w:cs="Calibri Light"/>
                <w:b w:val="0"/>
                <w:color w:val="000000"/>
                <w:sz w:val="18"/>
                <w:szCs w:val="18"/>
              </w:rPr>
            </w:pPr>
            <w:r w:rsidRPr="002125D9">
              <w:rPr>
                <w:rFonts w:eastAsia="Times New Roman" w:cs="Calibri Light"/>
                <w:b w:val="0"/>
                <w:color w:val="000000"/>
                <w:sz w:val="18"/>
                <w:szCs w:val="18"/>
              </w:rPr>
              <w:t>2.</w:t>
            </w:r>
          </w:p>
        </w:tc>
        <w:tc>
          <w:tcPr>
            <w:tcW w:w="3686" w:type="dxa"/>
            <w:tcBorders>
              <w:top w:val="none" w:sz="0" w:space="0" w:color="auto"/>
              <w:bottom w:val="none" w:sz="0" w:space="0" w:color="auto"/>
            </w:tcBorders>
            <w:vAlign w:val="center"/>
            <w:hideMark/>
          </w:tcPr>
          <w:p w:rsidR="000B083B" w:rsidRPr="002125D9" w:rsidRDefault="000B083B" w:rsidP="00DE5097">
            <w:pPr>
              <w:spacing w:after="0"/>
              <w:ind w:firstLine="0"/>
              <w:jc w:val="lef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8"/>
                <w:szCs w:val="18"/>
              </w:rPr>
            </w:pPr>
            <w:r w:rsidRPr="002125D9">
              <w:rPr>
                <w:rFonts w:eastAsia="Times New Roman" w:cs="Calibri Light"/>
                <w:color w:val="000000"/>
                <w:sz w:val="18"/>
                <w:szCs w:val="18"/>
              </w:rPr>
              <w:t>Wynik finansowy roku bieżącego</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8"/>
                <w:szCs w:val="18"/>
              </w:rPr>
            </w:pPr>
            <w:r w:rsidRPr="002125D9">
              <w:rPr>
                <w:rFonts w:cs="Calibri Light"/>
                <w:color w:val="000000"/>
                <w:sz w:val="18"/>
                <w:szCs w:val="18"/>
              </w:rPr>
              <w:t xml:space="preserve">435 263,2 </w:t>
            </w:r>
          </w:p>
        </w:tc>
        <w:tc>
          <w:tcPr>
            <w:tcW w:w="1843" w:type="dxa"/>
            <w:tcBorders>
              <w:top w:val="none" w:sz="0" w:space="0" w:color="auto"/>
              <w:bottom w:val="none" w:sz="0" w:space="0" w:color="auto"/>
            </w:tcBorders>
            <w:vAlign w:val="center"/>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8"/>
                <w:szCs w:val="18"/>
                <w:highlight w:val="lightGray"/>
              </w:rPr>
            </w:pPr>
            <w:r>
              <w:rPr>
                <w:rFonts w:cs="Calibri Light"/>
                <w:color w:val="000000"/>
                <w:sz w:val="18"/>
                <w:szCs w:val="18"/>
              </w:rPr>
              <w:t>754 202,6</w:t>
            </w:r>
            <w:r w:rsidRPr="002125D9">
              <w:rPr>
                <w:rFonts w:cs="Calibri Light"/>
                <w:color w:val="000000"/>
                <w:sz w:val="18"/>
                <w:szCs w:val="18"/>
              </w:rPr>
              <w:t xml:space="preserve"> </w:t>
            </w:r>
          </w:p>
        </w:tc>
        <w:tc>
          <w:tcPr>
            <w:tcW w:w="1425" w:type="dxa"/>
            <w:tcBorders>
              <w:top w:val="none" w:sz="0" w:space="0" w:color="auto"/>
              <w:bottom w:val="none" w:sz="0" w:space="0" w:color="auto"/>
              <w:right w:val="none" w:sz="0" w:space="0" w:color="auto"/>
            </w:tcBorders>
            <w:vAlign w:val="center"/>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color w:val="000000"/>
                <w:sz w:val="18"/>
                <w:szCs w:val="18"/>
                <w:highlight w:val="lightGray"/>
              </w:rPr>
            </w:pPr>
            <w:r>
              <w:rPr>
                <w:rFonts w:cs="Calibri Light"/>
                <w:color w:val="000000"/>
                <w:sz w:val="18"/>
                <w:szCs w:val="18"/>
              </w:rPr>
              <w:t>173,3</w:t>
            </w:r>
            <w:r w:rsidRPr="002125D9">
              <w:rPr>
                <w:rFonts w:cs="Calibri Light"/>
                <w:color w:val="000000"/>
                <w:sz w:val="18"/>
                <w:szCs w:val="18"/>
              </w:rPr>
              <w:t xml:space="preserve"> </w:t>
            </w:r>
          </w:p>
        </w:tc>
      </w:tr>
      <w:tr w:rsidR="000B083B" w:rsidRPr="002125D9" w:rsidTr="00DE5097">
        <w:trPr>
          <w:trHeight w:val="309"/>
        </w:trPr>
        <w:tc>
          <w:tcPr>
            <w:cnfStyle w:val="001000000000" w:firstRow="0" w:lastRow="0" w:firstColumn="1" w:lastColumn="0" w:oddVBand="0" w:evenVBand="0" w:oddHBand="0" w:evenHBand="0" w:firstRowFirstColumn="0" w:firstRowLastColumn="0" w:lastRowFirstColumn="0" w:lastRowLastColumn="0"/>
            <w:tcW w:w="572" w:type="dxa"/>
            <w:vAlign w:val="center"/>
          </w:tcPr>
          <w:p w:rsidR="000B083B" w:rsidRPr="002125D9" w:rsidRDefault="000B083B" w:rsidP="00DE5097">
            <w:pPr>
              <w:spacing w:after="0"/>
              <w:ind w:firstLine="0"/>
              <w:jc w:val="center"/>
              <w:rPr>
                <w:rFonts w:eastAsia="Times New Roman" w:cs="Calibri Light"/>
                <w:b w:val="0"/>
                <w:color w:val="000000"/>
                <w:sz w:val="18"/>
                <w:szCs w:val="18"/>
              </w:rPr>
            </w:pPr>
            <w:r w:rsidRPr="002125D9">
              <w:rPr>
                <w:rFonts w:cs="Calibri Light"/>
                <w:b w:val="0"/>
                <w:color w:val="000000"/>
                <w:sz w:val="18"/>
                <w:szCs w:val="18"/>
              </w:rPr>
              <w:t>3.</w:t>
            </w:r>
          </w:p>
        </w:tc>
        <w:tc>
          <w:tcPr>
            <w:tcW w:w="3686" w:type="dxa"/>
            <w:vAlign w:val="center"/>
          </w:tcPr>
          <w:p w:rsidR="000B083B" w:rsidRPr="002125D9" w:rsidRDefault="000B083B" w:rsidP="00DE5097">
            <w:pPr>
              <w:spacing w:after="0"/>
              <w:ind w:firstLine="0"/>
              <w:jc w:val="left"/>
              <w:cnfStyle w:val="000000000000" w:firstRow="0" w:lastRow="0" w:firstColumn="0" w:lastColumn="0" w:oddVBand="0" w:evenVBand="0" w:oddHBand="0" w:evenHBand="0" w:firstRowFirstColumn="0" w:firstRowLastColumn="0" w:lastRowFirstColumn="0" w:lastRowLastColumn="0"/>
              <w:rPr>
                <w:rFonts w:eastAsia="Times New Roman" w:cs="Calibri Light"/>
                <w:color w:val="000000"/>
                <w:sz w:val="18"/>
                <w:szCs w:val="18"/>
              </w:rPr>
            </w:pPr>
            <w:r w:rsidRPr="002125D9">
              <w:rPr>
                <w:rFonts w:cs="Calibri Light"/>
                <w:color w:val="000000"/>
                <w:sz w:val="18"/>
                <w:szCs w:val="18"/>
              </w:rPr>
              <w:t>Wynik finansowy z lat ubiegłych</w:t>
            </w:r>
          </w:p>
        </w:tc>
        <w:tc>
          <w:tcPr>
            <w:tcW w:w="1842" w:type="dxa"/>
            <w:tcBorders>
              <w:top w:val="nil"/>
              <w:left w:val="single" w:sz="4" w:space="0" w:color="auto"/>
              <w:bottom w:val="single" w:sz="4" w:space="0" w:color="auto"/>
              <w:right w:val="single" w:sz="4" w:space="0" w:color="auto"/>
            </w:tcBorders>
            <w:shd w:val="clear" w:color="auto" w:fill="auto"/>
            <w:vAlign w:val="center"/>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rPr>
            </w:pPr>
            <w:r w:rsidRPr="002125D9">
              <w:rPr>
                <w:rFonts w:cs="Calibri Light"/>
                <w:color w:val="000000"/>
                <w:sz w:val="18"/>
                <w:szCs w:val="18"/>
              </w:rPr>
              <w:t xml:space="preserve">0,0 </w:t>
            </w:r>
          </w:p>
        </w:tc>
        <w:tc>
          <w:tcPr>
            <w:tcW w:w="1843" w:type="dxa"/>
            <w:vAlign w:val="center"/>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highlight w:val="lightGray"/>
              </w:rPr>
            </w:pPr>
            <w:r w:rsidRPr="002125D9">
              <w:rPr>
                <w:rFonts w:cs="Calibri Light"/>
                <w:color w:val="000000"/>
                <w:sz w:val="18"/>
                <w:szCs w:val="18"/>
              </w:rPr>
              <w:t xml:space="preserve">0,0 </w:t>
            </w:r>
          </w:p>
        </w:tc>
        <w:tc>
          <w:tcPr>
            <w:tcW w:w="1425" w:type="dxa"/>
            <w:vAlign w:val="center"/>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color w:val="000000"/>
                <w:sz w:val="18"/>
                <w:szCs w:val="18"/>
                <w:highlight w:val="lightGray"/>
              </w:rPr>
            </w:pPr>
            <w:r w:rsidRPr="002125D9">
              <w:rPr>
                <w:rFonts w:cs="Calibri Light"/>
                <w:color w:val="000000"/>
                <w:sz w:val="18"/>
                <w:szCs w:val="18"/>
              </w:rPr>
              <w:t>-</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vAlign w:val="center"/>
            <w:hideMark/>
          </w:tcPr>
          <w:p w:rsidR="000B083B" w:rsidRPr="002125D9" w:rsidRDefault="000B083B" w:rsidP="00DE5097">
            <w:pPr>
              <w:spacing w:after="0"/>
              <w:ind w:firstLine="0"/>
              <w:jc w:val="center"/>
              <w:rPr>
                <w:rFonts w:eastAsia="Times New Roman" w:cs="Calibri Light"/>
                <w:b w:val="0"/>
                <w:bCs w:val="0"/>
                <w:sz w:val="18"/>
                <w:szCs w:val="18"/>
              </w:rPr>
            </w:pPr>
          </w:p>
        </w:tc>
        <w:tc>
          <w:tcPr>
            <w:tcW w:w="3686" w:type="dxa"/>
            <w:tcBorders>
              <w:top w:val="none" w:sz="0" w:space="0" w:color="auto"/>
              <w:bottom w:val="none" w:sz="0" w:space="0" w:color="auto"/>
            </w:tcBorders>
            <w:vAlign w:val="center"/>
            <w:hideMark/>
          </w:tcPr>
          <w:p w:rsidR="000B083B" w:rsidRPr="002125D9" w:rsidRDefault="000B083B" w:rsidP="00DE5097">
            <w:pPr>
              <w:spacing w:after="0"/>
              <w:ind w:firstLine="0"/>
              <w:jc w:val="left"/>
              <w:cnfStyle w:val="000000100000" w:firstRow="0" w:lastRow="0" w:firstColumn="0" w:lastColumn="0" w:oddVBand="0" w:evenVBand="0" w:oddHBand="1" w:evenHBand="0" w:firstRowFirstColumn="0" w:firstRowLastColumn="0" w:lastRowFirstColumn="0" w:lastRowLastColumn="0"/>
              <w:rPr>
                <w:rFonts w:eastAsia="Times New Roman" w:cs="Calibri Light"/>
                <w:b/>
                <w:bCs/>
                <w:sz w:val="18"/>
                <w:szCs w:val="18"/>
              </w:rPr>
            </w:pPr>
            <w:r w:rsidRPr="002125D9">
              <w:rPr>
                <w:rFonts w:eastAsia="Times New Roman" w:cs="Calibri Light"/>
                <w:b/>
                <w:bCs/>
                <w:sz w:val="18"/>
                <w:szCs w:val="18"/>
              </w:rPr>
              <w:t>Razem fundusze z wynikiem finansowym</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b/>
                <w:bCs/>
                <w:sz w:val="18"/>
                <w:szCs w:val="18"/>
              </w:rPr>
            </w:pPr>
            <w:r>
              <w:rPr>
                <w:rFonts w:cs="Calibri Light"/>
                <w:b/>
                <w:bCs/>
                <w:color w:val="000000"/>
                <w:sz w:val="18"/>
                <w:szCs w:val="18"/>
              </w:rPr>
              <w:t>25 181 947,1</w:t>
            </w:r>
            <w:r w:rsidRPr="002125D9">
              <w:rPr>
                <w:rFonts w:cs="Calibri Light"/>
                <w:b/>
                <w:bCs/>
                <w:color w:val="000000"/>
                <w:sz w:val="18"/>
                <w:szCs w:val="18"/>
              </w:rPr>
              <w:t xml:space="preserve"> </w:t>
            </w:r>
          </w:p>
        </w:tc>
        <w:tc>
          <w:tcPr>
            <w:tcW w:w="1843" w:type="dxa"/>
            <w:tcBorders>
              <w:top w:val="none" w:sz="0" w:space="0" w:color="auto"/>
              <w:bottom w:val="none" w:sz="0" w:space="0" w:color="auto"/>
            </w:tcBorders>
            <w:vAlign w:val="center"/>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b/>
                <w:bCs/>
                <w:sz w:val="18"/>
                <w:szCs w:val="18"/>
                <w:highlight w:val="lightGray"/>
              </w:rPr>
            </w:pPr>
            <w:r w:rsidRPr="002125D9">
              <w:rPr>
                <w:rFonts w:cs="Calibri Light"/>
                <w:b/>
                <w:bCs/>
                <w:color w:val="000000"/>
                <w:sz w:val="18"/>
                <w:szCs w:val="18"/>
              </w:rPr>
              <w:t xml:space="preserve">31 </w:t>
            </w:r>
            <w:r>
              <w:rPr>
                <w:rFonts w:cs="Calibri Light"/>
                <w:b/>
                <w:bCs/>
                <w:color w:val="000000"/>
                <w:sz w:val="18"/>
                <w:szCs w:val="18"/>
              </w:rPr>
              <w:t>295</w:t>
            </w:r>
            <w:r w:rsidRPr="002125D9">
              <w:rPr>
                <w:rFonts w:cs="Calibri Light"/>
                <w:b/>
                <w:bCs/>
                <w:color w:val="000000"/>
                <w:sz w:val="18"/>
                <w:szCs w:val="18"/>
              </w:rPr>
              <w:t xml:space="preserve"> </w:t>
            </w:r>
            <w:r>
              <w:rPr>
                <w:rFonts w:cs="Calibri Light"/>
                <w:b/>
                <w:bCs/>
                <w:color w:val="000000"/>
                <w:sz w:val="18"/>
                <w:szCs w:val="18"/>
              </w:rPr>
              <w:t>218,8</w:t>
            </w:r>
          </w:p>
        </w:tc>
        <w:tc>
          <w:tcPr>
            <w:tcW w:w="1425" w:type="dxa"/>
            <w:tcBorders>
              <w:top w:val="none" w:sz="0" w:space="0" w:color="auto"/>
              <w:bottom w:val="none" w:sz="0" w:space="0" w:color="auto"/>
              <w:right w:val="none" w:sz="0" w:space="0" w:color="auto"/>
            </w:tcBorders>
            <w:vAlign w:val="center"/>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eastAsia="Times New Roman" w:cs="Calibri Light"/>
                <w:b/>
                <w:bCs/>
                <w:sz w:val="18"/>
                <w:szCs w:val="18"/>
                <w:highlight w:val="lightGray"/>
              </w:rPr>
            </w:pPr>
            <w:r>
              <w:rPr>
                <w:rFonts w:cs="Calibri Light"/>
                <w:b/>
                <w:bCs/>
                <w:color w:val="000000"/>
                <w:sz w:val="18"/>
                <w:szCs w:val="18"/>
              </w:rPr>
              <w:t>124,3</w:t>
            </w:r>
            <w:r w:rsidRPr="002125D9">
              <w:rPr>
                <w:rFonts w:cs="Calibri Light"/>
                <w:b/>
                <w:bCs/>
                <w:color w:val="000000"/>
                <w:sz w:val="18"/>
                <w:szCs w:val="18"/>
              </w:rPr>
              <w:t xml:space="preserve"> </w:t>
            </w:r>
          </w:p>
        </w:tc>
      </w:tr>
    </w:tbl>
    <w:p w:rsidR="000B083B" w:rsidRPr="00BE6679" w:rsidRDefault="000B083B" w:rsidP="000B083B">
      <w:pPr>
        <w:rPr>
          <w:rFonts w:eastAsia="Palatino Linotype"/>
          <w:sz w:val="2"/>
          <w:szCs w:val="2"/>
          <w:highlight w:val="lightGray"/>
        </w:rPr>
      </w:pPr>
    </w:p>
    <w:p w:rsidR="000B083B" w:rsidRPr="00DC6105" w:rsidRDefault="000B083B" w:rsidP="000B083B">
      <w:pPr>
        <w:spacing w:after="120"/>
      </w:pPr>
      <w:r>
        <w:t>Pozycja inne pasywa obejmuje:</w:t>
      </w:r>
    </w:p>
    <w:p w:rsidR="000B083B" w:rsidRPr="0091113D" w:rsidRDefault="000B083B" w:rsidP="000B083B">
      <w:pPr>
        <w:pStyle w:val="Akapitzlist"/>
        <w:numPr>
          <w:ilvl w:val="0"/>
          <w:numId w:val="39"/>
        </w:numPr>
        <w:spacing w:after="0"/>
        <w:ind w:left="714" w:hanging="357"/>
        <w:contextualSpacing w:val="0"/>
        <w:rPr>
          <w:rFonts w:eastAsia="Palatino Linotype"/>
        </w:rPr>
      </w:pPr>
      <w:r w:rsidRPr="0091113D">
        <w:rPr>
          <w:rFonts w:eastAsia="Palatino Linotype"/>
        </w:rPr>
        <w:t>zobowiązania w wysokości 12 591,</w:t>
      </w:r>
      <w:r>
        <w:rPr>
          <w:rFonts w:eastAsia="Palatino Linotype"/>
        </w:rPr>
        <w:t>8</w:t>
      </w:r>
      <w:r w:rsidRPr="0091113D">
        <w:rPr>
          <w:rFonts w:eastAsia="Palatino Linotype"/>
        </w:rPr>
        <w:t xml:space="preserve"> tys. zł, w tym:  </w:t>
      </w:r>
    </w:p>
    <w:p w:rsidR="000B083B" w:rsidRDefault="000B083B" w:rsidP="000B083B">
      <w:pPr>
        <w:pStyle w:val="Akapitzlist"/>
        <w:numPr>
          <w:ilvl w:val="0"/>
          <w:numId w:val="40"/>
        </w:numPr>
        <w:spacing w:after="0"/>
        <w:ind w:left="1134" w:hanging="425"/>
      </w:pPr>
      <w:r w:rsidRPr="00DC6105">
        <w:t>zobowiązania wo</w:t>
      </w:r>
      <w:r>
        <w:t>bec deponentów kas w wysokości 8</w:t>
      </w:r>
      <w:r w:rsidRPr="00DC6105">
        <w:t> </w:t>
      </w:r>
      <w:r>
        <w:t>270</w:t>
      </w:r>
      <w:r w:rsidRPr="00DC6105">
        <w:t>,</w:t>
      </w:r>
      <w:r>
        <w:t>3</w:t>
      </w:r>
      <w:r w:rsidRPr="00DC6105">
        <w:t> tys. zł;</w:t>
      </w:r>
      <w:r>
        <w:t xml:space="preserve"> </w:t>
      </w:r>
    </w:p>
    <w:p w:rsidR="000B083B" w:rsidRPr="00DC6105" w:rsidRDefault="000B083B" w:rsidP="000B083B">
      <w:pPr>
        <w:pStyle w:val="Akapitzlist"/>
        <w:numPr>
          <w:ilvl w:val="0"/>
          <w:numId w:val="40"/>
        </w:numPr>
        <w:spacing w:after="0"/>
        <w:ind w:left="1134" w:hanging="425"/>
      </w:pPr>
      <w:r w:rsidRPr="00DC6105">
        <w:t>zobowiązania wobec deponentów banków w wysokości 2 </w:t>
      </w:r>
      <w:r>
        <w:t>115</w:t>
      </w:r>
      <w:r w:rsidRPr="00DC6105">
        <w:t>,</w:t>
      </w:r>
      <w:r>
        <w:t>2</w:t>
      </w:r>
      <w:r w:rsidRPr="00DC6105">
        <w:t> tys. zł;</w:t>
      </w:r>
    </w:p>
    <w:p w:rsidR="000B083B" w:rsidRPr="00DC6105" w:rsidRDefault="000B083B" w:rsidP="000B083B">
      <w:pPr>
        <w:pStyle w:val="Akapitzlist"/>
        <w:numPr>
          <w:ilvl w:val="0"/>
          <w:numId w:val="40"/>
        </w:numPr>
        <w:spacing w:after="0"/>
        <w:ind w:left="1134" w:hanging="425"/>
      </w:pPr>
      <w:r w:rsidRPr="00DC6105">
        <w:t>zobowiązania budżetowe z tytułu podatku dochodowego</w:t>
      </w:r>
      <w:r>
        <w:t>, VAT oraz</w:t>
      </w:r>
      <w:r w:rsidRPr="00DC6105">
        <w:t xml:space="preserve"> składek ZUS w łącznej wysokości 1 </w:t>
      </w:r>
      <w:r>
        <w:t>657</w:t>
      </w:r>
      <w:r w:rsidRPr="00DC6105">
        <w:t>,</w:t>
      </w:r>
      <w:r>
        <w:t>2</w:t>
      </w:r>
      <w:r w:rsidRPr="00DC6105">
        <w:t> tys. zł;</w:t>
      </w:r>
    </w:p>
    <w:p w:rsidR="000B083B" w:rsidRPr="00DC6105" w:rsidRDefault="000B083B" w:rsidP="000B083B">
      <w:pPr>
        <w:pStyle w:val="Akapitzlist"/>
        <w:numPr>
          <w:ilvl w:val="0"/>
          <w:numId w:val="40"/>
        </w:numPr>
        <w:spacing w:after="0"/>
        <w:ind w:left="1134" w:hanging="425"/>
      </w:pPr>
      <w:r w:rsidRPr="00DC6105">
        <w:t xml:space="preserve">pozostałe zobowiązania w wysokości </w:t>
      </w:r>
      <w:r>
        <w:t xml:space="preserve">549,1 </w:t>
      </w:r>
      <w:r w:rsidRPr="00DC6105">
        <w:t>tys. zł;</w:t>
      </w:r>
    </w:p>
    <w:p w:rsidR="000B083B" w:rsidRPr="0091113D" w:rsidRDefault="000B083B" w:rsidP="000B083B">
      <w:pPr>
        <w:pStyle w:val="Akapitzlist"/>
        <w:numPr>
          <w:ilvl w:val="1"/>
          <w:numId w:val="40"/>
        </w:numPr>
        <w:spacing w:after="0"/>
        <w:ind w:left="782" w:hanging="425"/>
        <w:rPr>
          <w:rFonts w:eastAsia="Palatino Linotype"/>
        </w:rPr>
      </w:pPr>
      <w:r w:rsidRPr="0091113D">
        <w:rPr>
          <w:rFonts w:eastAsia="Palatino Linotype"/>
        </w:rPr>
        <w:t xml:space="preserve">rezerwy w wysokości 165 660,3 tys. zł, w tym: </w:t>
      </w:r>
    </w:p>
    <w:p w:rsidR="000B083B" w:rsidRDefault="000B083B" w:rsidP="000B083B">
      <w:pPr>
        <w:pStyle w:val="Akapitzlist"/>
        <w:numPr>
          <w:ilvl w:val="1"/>
          <w:numId w:val="41"/>
        </w:numPr>
        <w:spacing w:after="0"/>
        <w:ind w:left="1134" w:hanging="425"/>
        <w:rPr>
          <w:rFonts w:eastAsia="Palatino Linotype"/>
        </w:rPr>
      </w:pPr>
      <w:r w:rsidRPr="0091113D">
        <w:rPr>
          <w:rFonts w:eastAsia="Palatino Linotype"/>
        </w:rPr>
        <w:t xml:space="preserve">rezerwy na wsparcie dla podmiotów przejmujących banki i spółdzielcze kasy oszczędnościowo – kredytowe w wysokości </w:t>
      </w:r>
      <w:r w:rsidRPr="005C7DEE">
        <w:rPr>
          <w:rFonts w:eastAsia="Palatino Linotype"/>
        </w:rPr>
        <w:t>158 804,3 tys. zł;</w:t>
      </w:r>
    </w:p>
    <w:p w:rsidR="000B083B" w:rsidRPr="000D21CD" w:rsidRDefault="000B083B" w:rsidP="000B083B">
      <w:pPr>
        <w:pStyle w:val="Akapitzlist"/>
        <w:numPr>
          <w:ilvl w:val="1"/>
          <w:numId w:val="41"/>
        </w:numPr>
        <w:spacing w:after="0"/>
        <w:ind w:left="1134" w:hanging="425"/>
        <w:rPr>
          <w:rFonts w:eastAsia="Palatino Linotype"/>
        </w:rPr>
      </w:pPr>
      <w:r w:rsidRPr="000D21CD">
        <w:rPr>
          <w:rFonts w:eastAsia="Palatino Linotype"/>
        </w:rPr>
        <w:t>rezerwy na nagrody jubileuszowe w wysokości 4 173,2 tys. zł;</w:t>
      </w:r>
      <w:r w:rsidRPr="000D21CD">
        <w:rPr>
          <w:rFonts w:ascii="Calibri" w:hAnsi="Calibri" w:cs="Calibri"/>
          <w:sz w:val="20"/>
          <w:szCs w:val="20"/>
        </w:rPr>
        <w:t xml:space="preserve"> </w:t>
      </w:r>
    </w:p>
    <w:p w:rsidR="000B083B" w:rsidRDefault="000B083B" w:rsidP="000B083B">
      <w:pPr>
        <w:numPr>
          <w:ilvl w:val="1"/>
          <w:numId w:val="41"/>
        </w:numPr>
        <w:ind w:left="1134" w:hanging="425"/>
        <w:contextualSpacing/>
        <w:rPr>
          <w:rFonts w:eastAsia="Palatino Linotype"/>
        </w:rPr>
      </w:pPr>
      <w:r w:rsidRPr="00FE0875">
        <w:rPr>
          <w:rFonts w:eastAsia="Palatino Linotype"/>
        </w:rPr>
        <w:t xml:space="preserve">rezerwy na odprawy emerytalne, rentowe i pośmiertne w wysokości 2 </w:t>
      </w:r>
      <w:r>
        <w:rPr>
          <w:rFonts w:eastAsia="Palatino Linotype"/>
        </w:rPr>
        <w:t>321</w:t>
      </w:r>
      <w:r w:rsidRPr="00FE0875">
        <w:rPr>
          <w:rFonts w:eastAsia="Palatino Linotype"/>
        </w:rPr>
        <w:t>,</w:t>
      </w:r>
      <w:r>
        <w:rPr>
          <w:rFonts w:eastAsia="Palatino Linotype"/>
        </w:rPr>
        <w:t>6</w:t>
      </w:r>
      <w:r w:rsidRPr="00FE0875">
        <w:rPr>
          <w:rFonts w:eastAsia="Palatino Linotype"/>
        </w:rPr>
        <w:t> tys. zł;</w:t>
      </w:r>
    </w:p>
    <w:p w:rsidR="000B083B" w:rsidRPr="000D21CD" w:rsidRDefault="000B083B" w:rsidP="000B083B">
      <w:pPr>
        <w:numPr>
          <w:ilvl w:val="1"/>
          <w:numId w:val="41"/>
        </w:numPr>
        <w:ind w:left="1134" w:hanging="425"/>
        <w:contextualSpacing/>
        <w:rPr>
          <w:rFonts w:eastAsia="Palatino Linotype"/>
        </w:rPr>
      </w:pPr>
      <w:r w:rsidRPr="000D21CD">
        <w:rPr>
          <w:rFonts w:eastAsia="Palatino Linotype"/>
        </w:rPr>
        <w:t xml:space="preserve">pozostałe rezerwy na świadczenia pracownicze w wysokości </w:t>
      </w:r>
      <w:r>
        <w:rPr>
          <w:rFonts w:eastAsia="Palatino Linotype"/>
        </w:rPr>
        <w:t>361,2</w:t>
      </w:r>
      <w:r w:rsidRPr="000D21CD">
        <w:rPr>
          <w:rFonts w:eastAsia="Palatino Linotype"/>
        </w:rPr>
        <w:t xml:space="preserve"> tys. zł; </w:t>
      </w:r>
    </w:p>
    <w:p w:rsidR="000B083B" w:rsidRPr="000B083B" w:rsidRDefault="000B083B" w:rsidP="000B083B">
      <w:pPr>
        <w:pStyle w:val="Akapitzlist"/>
        <w:numPr>
          <w:ilvl w:val="1"/>
          <w:numId w:val="37"/>
        </w:numPr>
        <w:spacing w:after="0"/>
        <w:ind w:left="782" w:hanging="425"/>
        <w:rPr>
          <w:rFonts w:eastAsia="Palatino Linotype"/>
        </w:rPr>
      </w:pPr>
      <w:r w:rsidRPr="00F56EAD">
        <w:rPr>
          <w:rFonts w:eastAsia="Palatino Linotype"/>
        </w:rPr>
        <w:t>rozliczenia międzyokresowe bierne w wysokości 4 031,4 tys. zł  uwzględniające: szacunki na nagrodę roczną i kwartalną, wynagrodzenia Rady, rozliczenia z tytułu niewykorzystanych urlopów wypoczynkowych oraz koszty za </w:t>
      </w:r>
      <w:r>
        <w:rPr>
          <w:rFonts w:eastAsia="Palatino Linotype"/>
        </w:rPr>
        <w:t>wrzesień</w:t>
      </w:r>
      <w:r w:rsidRPr="00F56EAD">
        <w:rPr>
          <w:rFonts w:eastAsia="Palatino Linotype"/>
        </w:rPr>
        <w:t xml:space="preserve"> br., płatne w kolejnych miesiącach;</w:t>
      </w:r>
    </w:p>
    <w:p w:rsidR="000B083B" w:rsidRPr="00F00BF0" w:rsidRDefault="000B083B" w:rsidP="000B083B">
      <w:pPr>
        <w:numPr>
          <w:ilvl w:val="0"/>
          <w:numId w:val="37"/>
        </w:numPr>
        <w:spacing w:after="120"/>
        <w:ind w:left="782" w:hanging="425"/>
        <w:rPr>
          <w:rFonts w:eastAsia="Palatino Linotype"/>
        </w:rPr>
      </w:pPr>
      <w:r w:rsidRPr="00FE0875">
        <w:rPr>
          <w:rFonts w:eastAsia="Palatino Linotype"/>
        </w:rPr>
        <w:t>Zakładowy Fundusz Świa</w:t>
      </w:r>
      <w:r>
        <w:rPr>
          <w:rFonts w:eastAsia="Palatino Linotype"/>
        </w:rPr>
        <w:t>dczeń Socjalnych w wysokości 603</w:t>
      </w:r>
      <w:r w:rsidRPr="00FE0875">
        <w:rPr>
          <w:rFonts w:eastAsia="Palatino Linotype"/>
        </w:rPr>
        <w:t>,</w:t>
      </w:r>
      <w:r>
        <w:rPr>
          <w:rFonts w:eastAsia="Palatino Linotype"/>
        </w:rPr>
        <w:t>2</w:t>
      </w:r>
      <w:r w:rsidRPr="00FE0875">
        <w:rPr>
          <w:rFonts w:eastAsia="Palatino Linotype"/>
        </w:rPr>
        <w:t> tys. zł</w:t>
      </w:r>
      <w:r w:rsidRPr="00F00BF0">
        <w:rPr>
          <w:rFonts w:eastAsia="Palatino Linotype"/>
        </w:rPr>
        <w:t>.</w:t>
      </w:r>
    </w:p>
    <w:p w:rsidR="000B083B" w:rsidRPr="002125D9" w:rsidRDefault="000B083B" w:rsidP="000B083B">
      <w:pPr>
        <w:spacing w:before="200" w:after="60"/>
        <w:ind w:firstLine="0"/>
        <w:rPr>
          <w:rFonts w:eastAsia="Times New Roman"/>
          <w:b/>
          <w:bCs/>
          <w:sz w:val="22"/>
          <w:szCs w:val="22"/>
        </w:rPr>
      </w:pPr>
      <w:r w:rsidRPr="002125D9">
        <w:rPr>
          <w:rFonts w:eastAsia="Times New Roman"/>
          <w:b/>
          <w:bCs/>
          <w:sz w:val="22"/>
          <w:szCs w:val="22"/>
        </w:rPr>
        <w:t>Tabela 1</w:t>
      </w:r>
      <w:r>
        <w:rPr>
          <w:rFonts w:eastAsia="Times New Roman"/>
          <w:b/>
          <w:bCs/>
          <w:sz w:val="22"/>
          <w:szCs w:val="22"/>
        </w:rPr>
        <w:t>4</w:t>
      </w:r>
      <w:r w:rsidRPr="002125D9">
        <w:rPr>
          <w:rFonts w:eastAsia="Times New Roman"/>
          <w:b/>
          <w:bCs/>
          <w:sz w:val="22"/>
          <w:szCs w:val="22"/>
        </w:rPr>
        <w:t>. Nakłady na środki trwałe i wartości niematerialne i prawne</w:t>
      </w:r>
    </w:p>
    <w:tbl>
      <w:tblPr>
        <w:tblStyle w:val="Jasnalistaakcent112"/>
        <w:tblW w:w="9356" w:type="dxa"/>
        <w:tblInd w:w="-10" w:type="dxa"/>
        <w:tblLayout w:type="fixed"/>
        <w:tblLook w:val="01E0" w:firstRow="1" w:lastRow="1" w:firstColumn="1" w:lastColumn="1" w:noHBand="0" w:noVBand="0"/>
      </w:tblPr>
      <w:tblGrid>
        <w:gridCol w:w="572"/>
        <w:gridCol w:w="3686"/>
        <w:gridCol w:w="1842"/>
        <w:gridCol w:w="1843"/>
        <w:gridCol w:w="1413"/>
      </w:tblGrid>
      <w:tr w:rsidR="000B083B" w:rsidRPr="002125D9" w:rsidTr="00DE509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72" w:type="dxa"/>
            <w:tcBorders>
              <w:top w:val="single" w:sz="4" w:space="0" w:color="auto"/>
              <w:left w:val="single" w:sz="4" w:space="0" w:color="auto"/>
              <w:bottom w:val="single" w:sz="4" w:space="0" w:color="auto"/>
              <w:right w:val="single" w:sz="4"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Lp.</w:t>
            </w:r>
          </w:p>
        </w:tc>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Wyszczególnienie</w:t>
            </w:r>
          </w:p>
        </w:tc>
        <w:tc>
          <w:tcPr>
            <w:tcW w:w="1842" w:type="dxa"/>
            <w:tcBorders>
              <w:top w:val="single" w:sz="4" w:space="0" w:color="auto"/>
              <w:left w:val="single" w:sz="4" w:space="0" w:color="auto"/>
              <w:bottom w:val="single" w:sz="4" w:space="0" w:color="auto"/>
              <w:right w:val="single" w:sz="4"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2125D9">
              <w:rPr>
                <w:rFonts w:cs="Calibri Light"/>
                <w:sz w:val="18"/>
                <w:szCs w:val="18"/>
              </w:rPr>
              <w:t>Plan na 2022 r.</w:t>
            </w:r>
          </w:p>
          <w:p w:rsidR="000B083B" w:rsidRPr="002125D9" w:rsidRDefault="000B083B" w:rsidP="00DE5097">
            <w:pPr>
              <w:widowControl w:val="0"/>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cs="Calibri Light"/>
                <w:b w:val="0"/>
                <w:sz w:val="18"/>
                <w:szCs w:val="18"/>
              </w:rPr>
            </w:pPr>
            <w:r w:rsidRPr="002125D9">
              <w:rPr>
                <w:rFonts w:cs="Calibri Light"/>
                <w:b w:val="0"/>
                <w:sz w:val="18"/>
                <w:szCs w:val="18"/>
              </w:rPr>
              <w:t>(tys. zł)</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 xml:space="preserve">Wykonanie na </w:t>
            </w:r>
          </w:p>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 xml:space="preserve">30 </w:t>
            </w:r>
            <w:r>
              <w:rPr>
                <w:rFonts w:cs="Calibri Light"/>
                <w:sz w:val="18"/>
                <w:szCs w:val="18"/>
              </w:rPr>
              <w:t>września</w:t>
            </w:r>
            <w:r w:rsidRPr="002125D9">
              <w:rPr>
                <w:rFonts w:cs="Calibri Light"/>
                <w:sz w:val="18"/>
                <w:szCs w:val="18"/>
              </w:rPr>
              <w:t xml:space="preserve"> 2022 r. </w:t>
            </w:r>
            <w:r w:rsidRPr="002125D9">
              <w:rPr>
                <w:rFonts w:cs="Calibri Light"/>
                <w:sz w:val="18"/>
                <w:szCs w:val="18"/>
              </w:rPr>
              <w:br/>
            </w:r>
            <w:r w:rsidRPr="002125D9">
              <w:rPr>
                <w:rFonts w:cs="Calibri Light"/>
                <w:b w:val="0"/>
                <w:sz w:val="18"/>
                <w:szCs w:val="18"/>
              </w:rPr>
              <w:t>(tys. zł)</w:t>
            </w:r>
          </w:p>
        </w:tc>
        <w:tc>
          <w:tcPr>
            <w:cnfStyle w:val="000100000000" w:firstRow="0" w:lastRow="0" w:firstColumn="0" w:lastColumn="1"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 xml:space="preserve">Wskaźnik realizacji planu rocznego </w:t>
            </w:r>
            <w:r w:rsidRPr="002125D9">
              <w:rPr>
                <w:rFonts w:cs="Calibri Light"/>
                <w:b w:val="0"/>
                <w:sz w:val="18"/>
                <w:szCs w:val="18"/>
              </w:rPr>
              <w:t>(%)</w:t>
            </w:r>
          </w:p>
        </w:tc>
      </w:tr>
      <w:tr w:rsidR="000B083B" w:rsidRPr="00440DF1" w:rsidTr="00DE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Borders>
              <w:top w:val="single" w:sz="4" w:space="0" w:color="auto"/>
              <w:left w:val="single" w:sz="4" w:space="0" w:color="auto"/>
              <w:bottom w:val="single" w:sz="4" w:space="0" w:color="auto"/>
              <w:right w:val="single" w:sz="4" w:space="0" w:color="auto"/>
            </w:tcBorders>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1.</w:t>
            </w:r>
          </w:p>
        </w:tc>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hideMark/>
          </w:tcPr>
          <w:p w:rsidR="000B083B" w:rsidRPr="008D164D" w:rsidRDefault="000B083B" w:rsidP="00DE5097">
            <w:pPr>
              <w:widowControl w:val="0"/>
              <w:spacing w:after="0"/>
              <w:ind w:firstLine="0"/>
              <w:jc w:val="left"/>
              <w:rPr>
                <w:rFonts w:cs="Calibri Light"/>
                <w:sz w:val="18"/>
                <w:szCs w:val="18"/>
              </w:rPr>
            </w:pPr>
            <w:r w:rsidRPr="008D164D">
              <w:rPr>
                <w:rFonts w:cs="Calibri Light"/>
                <w:sz w:val="18"/>
                <w:szCs w:val="18"/>
              </w:rPr>
              <w:t>Informatyka</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B083B" w:rsidRPr="00CD68D5" w:rsidRDefault="000B083B" w:rsidP="00DE5097">
            <w:pPr>
              <w:autoSpaceDE w:val="0"/>
              <w:autoSpaceDN w:val="0"/>
              <w:adjustRightInd w:val="0"/>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Cs/>
                <w:iCs/>
                <w:sz w:val="18"/>
                <w:szCs w:val="18"/>
                <w:lang w:eastAsia="en-US"/>
              </w:rPr>
            </w:pPr>
            <w:r w:rsidRPr="00CD68D5">
              <w:rPr>
                <w:rFonts w:cs="Calibri Light"/>
                <w:sz w:val="18"/>
                <w:szCs w:val="18"/>
              </w:rPr>
              <w:t xml:space="preserve">17 304,4 </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hideMark/>
          </w:tcPr>
          <w:p w:rsidR="000B083B" w:rsidRPr="00440DF1" w:rsidRDefault="000B083B" w:rsidP="00DE5097">
            <w:pPr>
              <w:widowControl w:val="0"/>
              <w:spacing w:after="0"/>
              <w:ind w:firstLine="0"/>
              <w:jc w:val="right"/>
              <w:rPr>
                <w:rFonts w:cs="Calibri Light"/>
                <w:color w:val="FF0000"/>
                <w:sz w:val="18"/>
                <w:szCs w:val="18"/>
                <w:highlight w:val="lightGray"/>
              </w:rPr>
            </w:pPr>
            <w:r w:rsidRPr="00B02B77">
              <w:rPr>
                <w:rFonts w:cs="Calibri Light"/>
                <w:sz w:val="18"/>
                <w:szCs w:val="18"/>
              </w:rPr>
              <w:t xml:space="preserve">6 512,4 </w:t>
            </w:r>
          </w:p>
        </w:tc>
        <w:tc>
          <w:tcPr>
            <w:cnfStyle w:val="000100000000" w:firstRow="0" w:lastRow="0" w:firstColumn="0" w:lastColumn="1"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hideMark/>
          </w:tcPr>
          <w:p w:rsidR="000B083B" w:rsidRPr="00440DF1" w:rsidRDefault="000B083B" w:rsidP="00DE5097">
            <w:pPr>
              <w:widowControl w:val="0"/>
              <w:spacing w:after="0"/>
              <w:ind w:firstLine="0"/>
              <w:jc w:val="right"/>
              <w:rPr>
                <w:rFonts w:cs="Calibri Light"/>
                <w:b w:val="0"/>
                <w:color w:val="FF0000"/>
                <w:sz w:val="18"/>
                <w:szCs w:val="18"/>
                <w:highlight w:val="lightGray"/>
              </w:rPr>
            </w:pPr>
            <w:r w:rsidRPr="00B02B77">
              <w:rPr>
                <w:rFonts w:cs="Calibri Light"/>
                <w:b w:val="0"/>
                <w:sz w:val="18"/>
                <w:szCs w:val="18"/>
              </w:rPr>
              <w:t xml:space="preserve">37,6 </w:t>
            </w:r>
          </w:p>
        </w:tc>
      </w:tr>
      <w:tr w:rsidR="000B083B" w:rsidRPr="00440DF1" w:rsidTr="00DE5097">
        <w:tc>
          <w:tcPr>
            <w:cnfStyle w:val="001000000000" w:firstRow="0" w:lastRow="0" w:firstColumn="1" w:lastColumn="0" w:oddVBand="0" w:evenVBand="0" w:oddHBand="0" w:evenHBand="0" w:firstRowFirstColumn="0" w:firstRowLastColumn="0" w:lastRowFirstColumn="0" w:lastRowLastColumn="0"/>
            <w:tcW w:w="572" w:type="dxa"/>
            <w:tcBorders>
              <w:top w:val="single" w:sz="4" w:space="0" w:color="auto"/>
              <w:left w:val="single" w:sz="4" w:space="0" w:color="auto"/>
              <w:bottom w:val="single" w:sz="4" w:space="0" w:color="auto"/>
              <w:right w:val="single" w:sz="4" w:space="0" w:color="auto"/>
            </w:tcBorders>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2.</w:t>
            </w:r>
          </w:p>
        </w:tc>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hideMark/>
          </w:tcPr>
          <w:p w:rsidR="000B083B" w:rsidRPr="00440DF1" w:rsidRDefault="000B083B" w:rsidP="00DE5097">
            <w:pPr>
              <w:widowControl w:val="0"/>
              <w:spacing w:after="0"/>
              <w:ind w:firstLine="0"/>
              <w:jc w:val="left"/>
              <w:rPr>
                <w:rFonts w:cs="Calibri Light"/>
                <w:color w:val="FF0000"/>
                <w:sz w:val="18"/>
                <w:szCs w:val="18"/>
              </w:rPr>
            </w:pPr>
            <w:r w:rsidRPr="008D164D">
              <w:rPr>
                <w:rFonts w:cs="Calibri Light"/>
                <w:sz w:val="18"/>
                <w:szCs w:val="18"/>
              </w:rPr>
              <w:t>Pozostałe nakłady</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CD68D5" w:rsidRDefault="000B083B" w:rsidP="00DE5097">
            <w:pPr>
              <w:autoSpaceDE w:val="0"/>
              <w:autoSpaceDN w:val="0"/>
              <w:adjustRightInd w:val="0"/>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bCs/>
                <w:iCs/>
                <w:sz w:val="18"/>
                <w:szCs w:val="18"/>
                <w:lang w:eastAsia="en-US"/>
              </w:rPr>
            </w:pPr>
            <w:r w:rsidRPr="00CD68D5">
              <w:rPr>
                <w:rFonts w:cs="Calibri Light"/>
                <w:sz w:val="18"/>
                <w:szCs w:val="18"/>
              </w:rPr>
              <w:t xml:space="preserve">1 532,2 </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hideMark/>
          </w:tcPr>
          <w:p w:rsidR="000B083B" w:rsidRPr="008D164D" w:rsidRDefault="000B083B" w:rsidP="00DE5097">
            <w:pPr>
              <w:widowControl w:val="0"/>
              <w:spacing w:after="0"/>
              <w:ind w:firstLine="0"/>
              <w:jc w:val="right"/>
              <w:rPr>
                <w:rFonts w:cs="Calibri Light"/>
                <w:sz w:val="18"/>
                <w:szCs w:val="18"/>
                <w:highlight w:val="lightGray"/>
              </w:rPr>
            </w:pPr>
            <w:r>
              <w:rPr>
                <w:rFonts w:cs="Calibri Light"/>
                <w:sz w:val="18"/>
                <w:szCs w:val="18"/>
              </w:rPr>
              <w:t>138,7</w:t>
            </w:r>
            <w:r w:rsidRPr="008D164D">
              <w:rPr>
                <w:rFonts w:cs="Calibri Light"/>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hideMark/>
          </w:tcPr>
          <w:p w:rsidR="000B083B" w:rsidRPr="008D164D" w:rsidRDefault="000B083B" w:rsidP="00DE5097">
            <w:pPr>
              <w:widowControl w:val="0"/>
              <w:spacing w:after="0"/>
              <w:ind w:firstLine="0"/>
              <w:jc w:val="right"/>
              <w:rPr>
                <w:rFonts w:cs="Calibri Light"/>
                <w:b w:val="0"/>
                <w:sz w:val="18"/>
                <w:szCs w:val="18"/>
                <w:highlight w:val="lightGray"/>
              </w:rPr>
            </w:pPr>
            <w:r>
              <w:rPr>
                <w:rFonts w:cs="Calibri Light"/>
                <w:b w:val="0"/>
                <w:sz w:val="18"/>
                <w:szCs w:val="18"/>
              </w:rPr>
              <w:t>9,1</w:t>
            </w:r>
            <w:r w:rsidRPr="008D164D">
              <w:rPr>
                <w:rFonts w:cs="Calibri Light"/>
                <w:b w:val="0"/>
                <w:sz w:val="18"/>
                <w:szCs w:val="18"/>
              </w:rPr>
              <w:t xml:space="preserve"> </w:t>
            </w:r>
          </w:p>
        </w:tc>
      </w:tr>
      <w:tr w:rsidR="000B083B" w:rsidRPr="00440DF1" w:rsidTr="00DE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Borders>
              <w:top w:val="single" w:sz="4" w:space="0" w:color="auto"/>
              <w:left w:val="single" w:sz="4" w:space="0" w:color="auto"/>
              <w:bottom w:val="single" w:sz="4" w:space="0" w:color="auto"/>
              <w:right w:val="single" w:sz="4" w:space="0" w:color="auto"/>
            </w:tcBorders>
            <w:hideMark/>
          </w:tcPr>
          <w:p w:rsidR="000B083B" w:rsidRPr="00CD68D5" w:rsidRDefault="000B083B" w:rsidP="00DE5097">
            <w:pPr>
              <w:widowControl w:val="0"/>
              <w:spacing w:after="0"/>
              <w:ind w:firstLine="0"/>
              <w:jc w:val="center"/>
              <w:rPr>
                <w:rFonts w:cs="Calibri Light"/>
                <w:b w:val="0"/>
                <w:sz w:val="18"/>
                <w:szCs w:val="18"/>
              </w:rPr>
            </w:pPr>
            <w:r w:rsidRPr="00CD68D5">
              <w:rPr>
                <w:rFonts w:cs="Calibri Light"/>
                <w:b w:val="0"/>
                <w:sz w:val="18"/>
                <w:szCs w:val="18"/>
              </w:rPr>
              <w:t>3.</w:t>
            </w:r>
          </w:p>
        </w:tc>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hideMark/>
          </w:tcPr>
          <w:p w:rsidR="000B083B" w:rsidRPr="00CD68D5" w:rsidRDefault="000B083B" w:rsidP="00DE5097">
            <w:pPr>
              <w:widowControl w:val="0"/>
              <w:spacing w:after="0"/>
              <w:ind w:firstLine="0"/>
              <w:jc w:val="left"/>
              <w:rPr>
                <w:rFonts w:cs="Calibri Light"/>
                <w:sz w:val="18"/>
                <w:szCs w:val="18"/>
              </w:rPr>
            </w:pPr>
            <w:r w:rsidRPr="00CD68D5">
              <w:rPr>
                <w:rFonts w:cs="Calibri Light"/>
                <w:sz w:val="18"/>
                <w:szCs w:val="18"/>
              </w:rPr>
              <w:t>Budynek</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CD68D5" w:rsidRDefault="000B083B" w:rsidP="00DE5097">
            <w:pPr>
              <w:autoSpaceDE w:val="0"/>
              <w:autoSpaceDN w:val="0"/>
              <w:adjustRightInd w:val="0"/>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Cs/>
                <w:sz w:val="18"/>
                <w:szCs w:val="18"/>
                <w:lang w:eastAsia="en-US"/>
              </w:rPr>
            </w:pPr>
            <w:r w:rsidRPr="00CD68D5">
              <w:rPr>
                <w:rFonts w:cs="Calibri Light"/>
                <w:sz w:val="18"/>
                <w:szCs w:val="18"/>
              </w:rPr>
              <w:t xml:space="preserve">60,0 </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hideMark/>
          </w:tcPr>
          <w:p w:rsidR="000B083B" w:rsidRPr="00CD68D5" w:rsidRDefault="000B083B" w:rsidP="00DE5097">
            <w:pPr>
              <w:autoSpaceDE w:val="0"/>
              <w:autoSpaceDN w:val="0"/>
              <w:adjustRightInd w:val="0"/>
              <w:spacing w:after="0"/>
              <w:ind w:firstLine="0"/>
              <w:jc w:val="right"/>
              <w:rPr>
                <w:rFonts w:cs="Calibri Light"/>
                <w:sz w:val="18"/>
                <w:szCs w:val="18"/>
              </w:rPr>
            </w:pPr>
            <w:r w:rsidRPr="00CD68D5">
              <w:rPr>
                <w:rFonts w:cs="Calibri Light"/>
                <w:sz w:val="18"/>
                <w:szCs w:val="18"/>
              </w:rPr>
              <w:t xml:space="preserve">26,0 </w:t>
            </w:r>
          </w:p>
        </w:tc>
        <w:tc>
          <w:tcPr>
            <w:cnfStyle w:val="000100000000" w:firstRow="0" w:lastRow="0" w:firstColumn="0" w:lastColumn="1"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hideMark/>
          </w:tcPr>
          <w:p w:rsidR="000B083B" w:rsidRPr="00440DF1" w:rsidRDefault="000B083B" w:rsidP="00DE5097">
            <w:pPr>
              <w:widowControl w:val="0"/>
              <w:spacing w:after="0"/>
              <w:ind w:firstLine="0"/>
              <w:jc w:val="right"/>
              <w:rPr>
                <w:rFonts w:cs="Calibri Light"/>
                <w:b w:val="0"/>
                <w:color w:val="FF0000"/>
                <w:sz w:val="18"/>
                <w:szCs w:val="18"/>
                <w:highlight w:val="lightGray"/>
              </w:rPr>
            </w:pPr>
            <w:r w:rsidRPr="00CD68D5">
              <w:rPr>
                <w:rFonts w:cs="Calibri Light"/>
                <w:b w:val="0"/>
                <w:sz w:val="18"/>
                <w:szCs w:val="18"/>
              </w:rPr>
              <w:t xml:space="preserve">43,3 </w:t>
            </w:r>
          </w:p>
        </w:tc>
      </w:tr>
      <w:tr w:rsidR="000B083B" w:rsidRPr="00440DF1" w:rsidTr="00DE5097">
        <w:tc>
          <w:tcPr>
            <w:cnfStyle w:val="001000000000" w:firstRow="0" w:lastRow="0" w:firstColumn="1" w:lastColumn="0" w:oddVBand="0" w:evenVBand="0" w:oddHBand="0" w:evenHBand="0" w:firstRowFirstColumn="0" w:firstRowLastColumn="0" w:lastRowFirstColumn="0" w:lastRowLastColumn="0"/>
            <w:tcW w:w="572" w:type="dxa"/>
            <w:tcBorders>
              <w:top w:val="single" w:sz="4" w:space="0" w:color="auto"/>
              <w:left w:val="single" w:sz="4" w:space="0" w:color="auto"/>
              <w:bottom w:val="single" w:sz="4" w:space="0" w:color="auto"/>
              <w:right w:val="single" w:sz="4" w:space="0" w:color="auto"/>
            </w:tcBorders>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4.</w:t>
            </w:r>
          </w:p>
        </w:tc>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hideMark/>
          </w:tcPr>
          <w:p w:rsidR="000B083B" w:rsidRPr="00CD68D5" w:rsidRDefault="000B083B" w:rsidP="00DE5097">
            <w:pPr>
              <w:widowControl w:val="0"/>
              <w:spacing w:after="0"/>
              <w:ind w:firstLine="0"/>
              <w:jc w:val="left"/>
              <w:rPr>
                <w:rFonts w:cs="Calibri Light"/>
                <w:b/>
                <w:sz w:val="18"/>
                <w:szCs w:val="18"/>
              </w:rPr>
            </w:pPr>
            <w:r w:rsidRPr="00CD68D5">
              <w:rPr>
                <w:rFonts w:cs="Calibri Light"/>
                <w:sz w:val="18"/>
                <w:szCs w:val="18"/>
              </w:rPr>
              <w:t>Rezerwa</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CD68D5" w:rsidRDefault="000B083B" w:rsidP="00DE5097">
            <w:pPr>
              <w:autoSpaceDE w:val="0"/>
              <w:autoSpaceDN w:val="0"/>
              <w:adjustRightInd w:val="0"/>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b/>
                <w:iCs/>
                <w:sz w:val="18"/>
                <w:szCs w:val="18"/>
                <w:lang w:eastAsia="en-US"/>
              </w:rPr>
            </w:pPr>
            <w:r w:rsidRPr="00CD68D5">
              <w:rPr>
                <w:rFonts w:cs="Calibri Light"/>
                <w:sz w:val="18"/>
                <w:szCs w:val="18"/>
              </w:rPr>
              <w:t xml:space="preserve">1 700,0 </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hideMark/>
          </w:tcPr>
          <w:p w:rsidR="000B083B" w:rsidRPr="00CD68D5" w:rsidRDefault="000B083B" w:rsidP="00DE5097">
            <w:pPr>
              <w:widowControl w:val="0"/>
              <w:spacing w:after="0"/>
              <w:ind w:firstLine="0"/>
              <w:jc w:val="right"/>
              <w:rPr>
                <w:rFonts w:cs="Calibri Light"/>
                <w:sz w:val="18"/>
                <w:szCs w:val="18"/>
                <w:highlight w:val="lightGray"/>
              </w:rPr>
            </w:pPr>
            <w:r w:rsidRPr="00CD68D5">
              <w:rPr>
                <w:rFonts w:cs="Calibri Light"/>
                <w:sz w:val="18"/>
                <w:szCs w:val="18"/>
              </w:rPr>
              <w:t xml:space="preserve">0,0 </w:t>
            </w:r>
          </w:p>
        </w:tc>
        <w:tc>
          <w:tcPr>
            <w:cnfStyle w:val="000100000000" w:firstRow="0" w:lastRow="0" w:firstColumn="0" w:lastColumn="1"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hideMark/>
          </w:tcPr>
          <w:p w:rsidR="000B083B" w:rsidRPr="00CD68D5" w:rsidRDefault="000B083B" w:rsidP="00DE5097">
            <w:pPr>
              <w:widowControl w:val="0"/>
              <w:spacing w:after="0"/>
              <w:ind w:firstLine="0"/>
              <w:jc w:val="right"/>
              <w:rPr>
                <w:rFonts w:cs="Calibri Light"/>
                <w:b w:val="0"/>
                <w:sz w:val="18"/>
                <w:szCs w:val="18"/>
                <w:highlight w:val="lightGray"/>
              </w:rPr>
            </w:pPr>
            <w:r w:rsidRPr="00CD68D5">
              <w:rPr>
                <w:rFonts w:cs="Calibri Light"/>
                <w:b w:val="0"/>
                <w:sz w:val="18"/>
                <w:szCs w:val="18"/>
              </w:rPr>
              <w:t xml:space="preserve">0,0 </w:t>
            </w:r>
          </w:p>
        </w:tc>
      </w:tr>
      <w:tr w:rsidR="000B083B" w:rsidRPr="00440DF1" w:rsidTr="00DE509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Borders>
              <w:top w:val="single" w:sz="4" w:space="0" w:color="auto"/>
              <w:left w:val="single" w:sz="4" w:space="0" w:color="auto"/>
              <w:bottom w:val="single" w:sz="4" w:space="0" w:color="auto"/>
              <w:right w:val="single" w:sz="4" w:space="0" w:color="auto"/>
            </w:tcBorders>
            <w:shd w:val="clear" w:color="auto" w:fill="auto"/>
          </w:tcPr>
          <w:p w:rsidR="000B083B" w:rsidRPr="002125D9" w:rsidRDefault="000B083B" w:rsidP="00DE5097">
            <w:pPr>
              <w:widowControl w:val="0"/>
              <w:spacing w:after="0"/>
              <w:ind w:firstLine="0"/>
              <w:jc w:val="left"/>
              <w:rPr>
                <w:rFonts w:cs="Calibri Light"/>
                <w:b w:val="0"/>
                <w:bCs w:val="0"/>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auto"/>
          </w:tcPr>
          <w:p w:rsidR="000B083B" w:rsidRPr="00CD68D5" w:rsidRDefault="000B083B" w:rsidP="00DE5097">
            <w:pPr>
              <w:widowControl w:val="0"/>
              <w:spacing w:after="0"/>
              <w:ind w:firstLine="0"/>
              <w:jc w:val="left"/>
              <w:rPr>
                <w:rFonts w:cs="Calibri Light"/>
                <w:sz w:val="18"/>
                <w:szCs w:val="18"/>
              </w:rPr>
            </w:pPr>
            <w:r w:rsidRPr="00CD68D5">
              <w:rPr>
                <w:rFonts w:cs="Calibri Light"/>
                <w:sz w:val="18"/>
                <w:szCs w:val="18"/>
              </w:rPr>
              <w:t>Razem nakłady</w:t>
            </w:r>
          </w:p>
        </w:tc>
        <w:tc>
          <w:tcPr>
            <w:tcW w:w="1842" w:type="dxa"/>
            <w:tcBorders>
              <w:top w:val="nil"/>
              <w:left w:val="single" w:sz="4" w:space="0" w:color="auto"/>
              <w:bottom w:val="single" w:sz="4" w:space="0" w:color="auto"/>
              <w:right w:val="single" w:sz="4" w:space="0" w:color="auto"/>
            </w:tcBorders>
            <w:shd w:val="clear" w:color="auto" w:fill="auto"/>
          </w:tcPr>
          <w:p w:rsidR="000B083B" w:rsidRPr="00CD68D5" w:rsidRDefault="000B083B" w:rsidP="00DE5097">
            <w:pPr>
              <w:autoSpaceDE w:val="0"/>
              <w:autoSpaceDN w:val="0"/>
              <w:adjustRightInd w:val="0"/>
              <w:spacing w:after="0"/>
              <w:ind w:firstLine="0"/>
              <w:jc w:val="right"/>
              <w:cnfStyle w:val="010000000000" w:firstRow="0" w:lastRow="1" w:firstColumn="0" w:lastColumn="0" w:oddVBand="0" w:evenVBand="0" w:oddHBand="0" w:evenHBand="0" w:firstRowFirstColumn="0" w:firstRowLastColumn="0" w:lastRowFirstColumn="0" w:lastRowLastColumn="0"/>
              <w:rPr>
                <w:rFonts w:cs="Calibri Light"/>
                <w:sz w:val="18"/>
                <w:szCs w:val="18"/>
              </w:rPr>
            </w:pPr>
            <w:r w:rsidRPr="00CD68D5">
              <w:rPr>
                <w:rFonts w:cs="Calibri Light"/>
                <w:bCs w:val="0"/>
                <w:sz w:val="18"/>
                <w:szCs w:val="18"/>
              </w:rPr>
              <w:t xml:space="preserve">20 596,6 </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shd w:val="clear" w:color="auto" w:fill="auto"/>
          </w:tcPr>
          <w:p w:rsidR="000B083B" w:rsidRPr="00440DF1" w:rsidRDefault="000B083B" w:rsidP="00DE5097">
            <w:pPr>
              <w:widowControl w:val="0"/>
              <w:spacing w:after="0"/>
              <w:ind w:firstLine="0"/>
              <w:jc w:val="right"/>
              <w:rPr>
                <w:rFonts w:cs="Calibri Light"/>
                <w:color w:val="FF0000"/>
                <w:sz w:val="18"/>
                <w:szCs w:val="18"/>
                <w:highlight w:val="lightGray"/>
              </w:rPr>
            </w:pPr>
            <w:r>
              <w:rPr>
                <w:rFonts w:cs="Calibri Light"/>
                <w:bCs w:val="0"/>
                <w:sz w:val="18"/>
                <w:szCs w:val="18"/>
              </w:rPr>
              <w:t>6 677,1</w:t>
            </w:r>
          </w:p>
        </w:tc>
        <w:tc>
          <w:tcPr>
            <w:cnfStyle w:val="000100000000" w:firstRow="0" w:lastRow="0" w:firstColumn="0" w:lastColumn="1"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auto"/>
              <w:right w:val="single" w:sz="4" w:space="0" w:color="auto"/>
            </w:tcBorders>
            <w:shd w:val="clear" w:color="auto" w:fill="auto"/>
          </w:tcPr>
          <w:p w:rsidR="000B083B" w:rsidRPr="00440DF1" w:rsidRDefault="000B083B" w:rsidP="00DE5097">
            <w:pPr>
              <w:widowControl w:val="0"/>
              <w:spacing w:after="0"/>
              <w:ind w:firstLine="0"/>
              <w:jc w:val="right"/>
              <w:rPr>
                <w:rFonts w:cs="Calibri Light"/>
                <w:color w:val="FF0000"/>
                <w:sz w:val="18"/>
                <w:szCs w:val="18"/>
                <w:highlight w:val="lightGray"/>
              </w:rPr>
            </w:pPr>
            <w:r w:rsidRPr="00CD68D5">
              <w:rPr>
                <w:rFonts w:cs="Calibri Light"/>
                <w:bCs w:val="0"/>
                <w:sz w:val="18"/>
                <w:szCs w:val="18"/>
              </w:rPr>
              <w:t xml:space="preserve">32,4 </w:t>
            </w:r>
          </w:p>
        </w:tc>
      </w:tr>
    </w:tbl>
    <w:p w:rsidR="000B083B" w:rsidRPr="004258E5" w:rsidRDefault="000B083B" w:rsidP="000B083B">
      <w:pPr>
        <w:spacing w:before="200" w:after="120"/>
        <w:rPr>
          <w:rFonts w:cs="Calibri Light"/>
        </w:rPr>
      </w:pPr>
      <w:r w:rsidRPr="004258E5">
        <w:t>W </w:t>
      </w:r>
      <w:r w:rsidRPr="004258E5">
        <w:rPr>
          <w:bCs/>
        </w:rPr>
        <w:t xml:space="preserve">okresie do 30 </w:t>
      </w:r>
      <w:r>
        <w:rPr>
          <w:bCs/>
        </w:rPr>
        <w:t>września</w:t>
      </w:r>
      <w:r w:rsidRPr="004258E5">
        <w:rPr>
          <w:bCs/>
        </w:rPr>
        <w:t xml:space="preserve"> 202</w:t>
      </w:r>
      <w:r>
        <w:rPr>
          <w:bCs/>
        </w:rPr>
        <w:t>2</w:t>
      </w:r>
      <w:r w:rsidRPr="004258E5">
        <w:rPr>
          <w:bCs/>
        </w:rPr>
        <w:t xml:space="preserve"> r. </w:t>
      </w:r>
      <w:r w:rsidRPr="004258E5">
        <w:t>poniesiono nakłady na środki trwałe oraz na wartości niematerialne i </w:t>
      </w:r>
      <w:r w:rsidRPr="004258E5">
        <w:rPr>
          <w:rFonts w:cs="Calibri Light"/>
        </w:rPr>
        <w:t xml:space="preserve">prawne w wysokości </w:t>
      </w:r>
      <w:r>
        <w:rPr>
          <w:rFonts w:cs="Calibri Light"/>
        </w:rPr>
        <w:t>6 677,1</w:t>
      </w:r>
      <w:r w:rsidRPr="004258E5">
        <w:rPr>
          <w:rFonts w:cs="Calibri Light"/>
        </w:rPr>
        <w:t xml:space="preserve"> tys. zł. </w:t>
      </w:r>
    </w:p>
    <w:p w:rsidR="000B083B" w:rsidRPr="004258E5" w:rsidRDefault="000B083B" w:rsidP="000B083B">
      <w:pPr>
        <w:spacing w:after="120"/>
        <w:rPr>
          <w:rFonts w:cs="Calibri Light"/>
        </w:rPr>
      </w:pPr>
      <w:r w:rsidRPr="009161C0">
        <w:rPr>
          <w:rFonts w:cs="Calibri Light"/>
        </w:rPr>
        <w:t>Niski poziom realizacji planu nakładów jest przede wszystkim efektem przesunięcia w czasie nakładów na rozwój systemów informatycznych</w:t>
      </w:r>
      <w:r>
        <w:rPr>
          <w:rFonts w:cs="Calibri Light"/>
        </w:rPr>
        <w:t xml:space="preserve">, </w:t>
      </w:r>
      <w:r w:rsidRPr="009161C0">
        <w:rPr>
          <w:rFonts w:cs="Calibri Light"/>
        </w:rPr>
        <w:t>nakładów na rozbudowę zasobów infrastruktury teleinfor</w:t>
      </w:r>
      <w:r>
        <w:rPr>
          <w:rFonts w:cs="Calibri Light"/>
        </w:rPr>
        <w:t>matycznej</w:t>
      </w:r>
      <w:r w:rsidRPr="009161C0">
        <w:rPr>
          <w:rFonts w:cs="Calibri Light"/>
        </w:rPr>
        <w:t xml:space="preserve"> oraz nakładów na modernizację sprzętu i aktualizacj</w:t>
      </w:r>
      <w:r>
        <w:rPr>
          <w:rFonts w:cs="Calibri Light"/>
        </w:rPr>
        <w:t>ę</w:t>
      </w:r>
      <w:r w:rsidRPr="009161C0">
        <w:rPr>
          <w:rFonts w:cs="Calibri Light"/>
        </w:rPr>
        <w:t xml:space="preserve"> oprogramowania</w:t>
      </w:r>
      <w:r w:rsidRPr="004258E5">
        <w:rPr>
          <w:rFonts w:cs="Calibri Light"/>
        </w:rPr>
        <w:t>.</w:t>
      </w:r>
    </w:p>
    <w:p w:rsidR="000B083B" w:rsidRPr="002125D9" w:rsidRDefault="000B083B" w:rsidP="000B083B">
      <w:pPr>
        <w:spacing w:before="200" w:after="60"/>
        <w:ind w:firstLine="0"/>
        <w:rPr>
          <w:rFonts w:eastAsia="Times New Roman"/>
          <w:b/>
          <w:bCs/>
          <w:sz w:val="22"/>
          <w:szCs w:val="22"/>
        </w:rPr>
      </w:pPr>
      <w:r w:rsidRPr="002125D9">
        <w:rPr>
          <w:rFonts w:eastAsia="Times New Roman"/>
          <w:b/>
          <w:bCs/>
          <w:sz w:val="22"/>
          <w:szCs w:val="22"/>
        </w:rPr>
        <w:t>Tabela 1</w:t>
      </w:r>
      <w:r>
        <w:rPr>
          <w:rFonts w:eastAsia="Times New Roman"/>
          <w:b/>
          <w:bCs/>
          <w:sz w:val="22"/>
          <w:szCs w:val="22"/>
        </w:rPr>
        <w:t>5</w:t>
      </w:r>
      <w:r w:rsidRPr="002125D9">
        <w:rPr>
          <w:rFonts w:eastAsia="Times New Roman"/>
          <w:b/>
          <w:bCs/>
          <w:sz w:val="22"/>
          <w:szCs w:val="22"/>
        </w:rPr>
        <w:t>. Rachunek zysków i strat</w:t>
      </w:r>
    </w:p>
    <w:tbl>
      <w:tblPr>
        <w:tblStyle w:val="Jasnalistaakcent112"/>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686"/>
        <w:gridCol w:w="1842"/>
        <w:gridCol w:w="1843"/>
        <w:gridCol w:w="1412"/>
      </w:tblGrid>
      <w:tr w:rsidR="000B083B" w:rsidRPr="002125D9" w:rsidTr="00DE5097">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572" w:type="dxa"/>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Lp.</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right w:val="none" w:sz="0"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Wyszczególnienie</w:t>
            </w:r>
          </w:p>
        </w:tc>
        <w:tc>
          <w:tcPr>
            <w:tcW w:w="1842" w:type="dxa"/>
            <w:shd w:val="clear" w:color="auto" w:fill="2A5384"/>
            <w:vAlign w:val="center"/>
            <w:hideMark/>
          </w:tcPr>
          <w:p w:rsidR="000B083B" w:rsidRPr="002125D9" w:rsidRDefault="000B083B" w:rsidP="00DE5097">
            <w:pPr>
              <w:widowControl w:val="0"/>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2125D9">
              <w:rPr>
                <w:rFonts w:cs="Calibri Light"/>
                <w:sz w:val="18"/>
                <w:szCs w:val="18"/>
              </w:rPr>
              <w:t>Plan na 2022 r.</w:t>
            </w:r>
          </w:p>
          <w:p w:rsidR="000B083B" w:rsidRPr="002125D9" w:rsidRDefault="000B083B" w:rsidP="00DE5097">
            <w:pPr>
              <w:widowControl w:val="0"/>
              <w:spacing w:before="0" w:beforeAutospacing="0" w:after="0" w:afterAutospacing="0"/>
              <w:ind w:firstLine="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2125D9">
              <w:rPr>
                <w:rFonts w:cs="Calibri Light"/>
                <w:sz w:val="18"/>
                <w:szCs w:val="18"/>
              </w:rPr>
              <w:t>(tys. zł)</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right w:val="none" w:sz="0" w:space="0" w:color="auto"/>
            </w:tcBorders>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 xml:space="preserve">Wykonanie na </w:t>
            </w:r>
          </w:p>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 xml:space="preserve">30 </w:t>
            </w:r>
            <w:r>
              <w:rPr>
                <w:rFonts w:cs="Calibri Light"/>
                <w:sz w:val="18"/>
                <w:szCs w:val="18"/>
              </w:rPr>
              <w:t>września</w:t>
            </w:r>
            <w:r w:rsidRPr="002125D9">
              <w:rPr>
                <w:rFonts w:cs="Calibri Light"/>
                <w:sz w:val="18"/>
                <w:szCs w:val="18"/>
              </w:rPr>
              <w:t xml:space="preserve"> 2022 r.</w:t>
            </w:r>
          </w:p>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(tys. zł)</w:t>
            </w:r>
          </w:p>
        </w:tc>
        <w:tc>
          <w:tcPr>
            <w:cnfStyle w:val="000100000000" w:firstRow="0" w:lastRow="0" w:firstColumn="0" w:lastColumn="1" w:oddVBand="0" w:evenVBand="0" w:oddHBand="0" w:evenHBand="0" w:firstRowFirstColumn="0" w:firstRowLastColumn="0" w:lastRowFirstColumn="0" w:lastRowLastColumn="0"/>
            <w:tcW w:w="1412" w:type="dxa"/>
            <w:shd w:val="clear" w:color="auto" w:fill="2A5384"/>
            <w:vAlign w:val="center"/>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Wskaźnik realizacji planu rocznego (%)</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hideMark/>
          </w:tcPr>
          <w:p w:rsidR="000B083B" w:rsidRPr="002125D9" w:rsidRDefault="000B083B" w:rsidP="00DE5097">
            <w:pPr>
              <w:widowControl w:val="0"/>
              <w:spacing w:after="0"/>
              <w:ind w:firstLine="0"/>
              <w:jc w:val="center"/>
              <w:rPr>
                <w:rFonts w:cs="Calibri Light"/>
                <w:sz w:val="18"/>
                <w:szCs w:val="18"/>
              </w:rPr>
            </w:pPr>
            <w:r w:rsidRPr="002125D9">
              <w:rPr>
                <w:rFonts w:cs="Calibri Light"/>
                <w:sz w:val="18"/>
                <w:szCs w:val="18"/>
              </w:rPr>
              <w:t>1.</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after="0"/>
              <w:ind w:firstLine="0"/>
              <w:jc w:val="left"/>
              <w:rPr>
                <w:rFonts w:cs="Calibri Light"/>
                <w:b/>
                <w:bCs/>
                <w:sz w:val="18"/>
                <w:szCs w:val="18"/>
              </w:rPr>
            </w:pPr>
            <w:r w:rsidRPr="002125D9">
              <w:rPr>
                <w:rFonts w:cs="Calibri Light"/>
                <w:b/>
                <w:sz w:val="18"/>
                <w:szCs w:val="18"/>
              </w:rPr>
              <w:t>Przychody ogółem</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
                <w:bCs/>
                <w:sz w:val="18"/>
                <w:szCs w:val="18"/>
              </w:rPr>
            </w:pPr>
            <w:r w:rsidRPr="002125D9">
              <w:rPr>
                <w:rFonts w:cs="Calibri Light"/>
                <w:b/>
                <w:bCs/>
                <w:sz w:val="18"/>
                <w:szCs w:val="18"/>
              </w:rPr>
              <w:t xml:space="preserve">569 727,0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hideMark/>
          </w:tcPr>
          <w:p w:rsidR="000B083B" w:rsidRPr="003221CC" w:rsidRDefault="000B083B" w:rsidP="00DE5097">
            <w:pPr>
              <w:spacing w:after="0"/>
              <w:ind w:firstLineChars="100" w:firstLine="180"/>
              <w:jc w:val="right"/>
              <w:rPr>
                <w:rFonts w:cs="Calibri Light"/>
                <w:b/>
                <w:bCs/>
                <w:sz w:val="18"/>
                <w:szCs w:val="18"/>
              </w:rPr>
            </w:pPr>
            <w:r w:rsidRPr="003221CC">
              <w:rPr>
                <w:rFonts w:cs="Calibri Light"/>
                <w:b/>
                <w:bCs/>
                <w:sz w:val="18"/>
                <w:szCs w:val="18"/>
              </w:rPr>
              <w:t xml:space="preserve">817 423,8 </w:t>
            </w:r>
          </w:p>
          <w:p w:rsidR="000B083B" w:rsidRPr="002125D9" w:rsidRDefault="000B083B" w:rsidP="00DE5097">
            <w:pPr>
              <w:spacing w:after="0"/>
              <w:ind w:firstLine="0"/>
              <w:jc w:val="center"/>
              <w:rPr>
                <w:rFonts w:asciiTheme="minorHAnsi" w:hAnsiTheme="minorHAnsi" w:cs="Calibri Light"/>
                <w:b/>
                <w:bCs/>
                <w:sz w:val="18"/>
                <w:szCs w:val="18"/>
                <w:highlight w:val="lightGray"/>
              </w:rPr>
            </w:pPr>
          </w:p>
        </w:tc>
        <w:tc>
          <w:tcPr>
            <w:cnfStyle w:val="000100000000" w:firstRow="0" w:lastRow="0" w:firstColumn="0" w:lastColumn="1" w:oddVBand="0" w:evenVBand="0" w:oddHBand="0" w:evenHBand="0" w:firstRowFirstColumn="0" w:firstRowLastColumn="0" w:lastRowFirstColumn="0" w:lastRowLastColumn="0"/>
            <w:tcW w:w="1412" w:type="dxa"/>
            <w:tcBorders>
              <w:top w:val="none" w:sz="0" w:space="0" w:color="auto"/>
              <w:bottom w:val="none" w:sz="0" w:space="0" w:color="auto"/>
              <w:right w:val="none" w:sz="0" w:space="0" w:color="auto"/>
            </w:tcBorders>
            <w:hideMark/>
          </w:tcPr>
          <w:p w:rsidR="000B083B" w:rsidRPr="003221CC" w:rsidRDefault="000B083B" w:rsidP="00DE5097">
            <w:pPr>
              <w:spacing w:after="0"/>
              <w:ind w:firstLineChars="100" w:firstLine="180"/>
              <w:jc w:val="right"/>
              <w:rPr>
                <w:rFonts w:cs="Calibri Light"/>
                <w:bCs w:val="0"/>
                <w:sz w:val="18"/>
                <w:szCs w:val="18"/>
              </w:rPr>
            </w:pPr>
            <w:r w:rsidRPr="003221CC">
              <w:rPr>
                <w:rFonts w:cs="Calibri Light"/>
                <w:bCs w:val="0"/>
                <w:sz w:val="18"/>
                <w:szCs w:val="18"/>
              </w:rPr>
              <w:t>143,5</w:t>
            </w:r>
          </w:p>
          <w:p w:rsidR="000B083B" w:rsidRPr="003221CC" w:rsidRDefault="000B083B" w:rsidP="00DE5097">
            <w:pPr>
              <w:tabs>
                <w:tab w:val="center" w:pos="742"/>
                <w:tab w:val="right" w:pos="1485"/>
              </w:tabs>
              <w:spacing w:after="0"/>
              <w:ind w:firstLine="0"/>
              <w:jc w:val="right"/>
              <w:rPr>
                <w:rFonts w:cs="Calibri Light"/>
                <w:bCs w:val="0"/>
                <w:sz w:val="18"/>
                <w:szCs w:val="18"/>
              </w:rPr>
            </w:pPr>
          </w:p>
        </w:tc>
      </w:tr>
      <w:tr w:rsidR="000B083B" w:rsidRPr="002125D9" w:rsidTr="00DE5097">
        <w:trPr>
          <w:trHeight w:val="60"/>
        </w:trPr>
        <w:tc>
          <w:tcPr>
            <w:cnfStyle w:val="001000000000" w:firstRow="0" w:lastRow="0" w:firstColumn="1" w:lastColumn="0" w:oddVBand="0" w:evenVBand="0" w:oddHBand="0" w:evenHBand="0" w:firstRowFirstColumn="0" w:firstRowLastColumn="0" w:lastRowFirstColumn="0" w:lastRowLastColumn="0"/>
            <w:tcW w:w="572" w:type="dxa"/>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2.</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Wynik z działalności statutowej</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bCs/>
                <w:sz w:val="18"/>
                <w:szCs w:val="18"/>
              </w:rPr>
            </w:pPr>
            <w:r w:rsidRPr="002125D9">
              <w:rPr>
                <w:rFonts w:cs="Calibri Light"/>
                <w:sz w:val="18"/>
                <w:szCs w:val="18"/>
              </w:rPr>
              <w:t xml:space="preserve">0,0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hideMark/>
          </w:tcPr>
          <w:p w:rsidR="000B083B" w:rsidRPr="002125D9" w:rsidRDefault="000B083B" w:rsidP="00DE5097">
            <w:pPr>
              <w:spacing w:after="0"/>
              <w:ind w:firstLine="0"/>
              <w:jc w:val="right"/>
              <w:rPr>
                <w:rFonts w:asciiTheme="minorHAnsi" w:hAnsiTheme="minorHAnsi" w:cs="Calibri Light"/>
                <w:sz w:val="18"/>
                <w:szCs w:val="18"/>
                <w:highlight w:val="lightGray"/>
              </w:rPr>
            </w:pPr>
            <w:r w:rsidRPr="002125D9">
              <w:rPr>
                <w:rFonts w:cs="Calibri Light"/>
                <w:sz w:val="18"/>
                <w:szCs w:val="18"/>
              </w:rPr>
              <w:t xml:space="preserve">0,0 </w:t>
            </w:r>
          </w:p>
        </w:tc>
        <w:tc>
          <w:tcPr>
            <w:cnfStyle w:val="000100000000" w:firstRow="0" w:lastRow="0" w:firstColumn="0" w:lastColumn="1" w:oddVBand="0" w:evenVBand="0" w:oddHBand="0" w:evenHBand="0" w:firstRowFirstColumn="0" w:firstRowLastColumn="0" w:lastRowFirstColumn="0" w:lastRowLastColumn="0"/>
            <w:tcW w:w="1412" w:type="dxa"/>
            <w:hideMark/>
          </w:tcPr>
          <w:p w:rsidR="000B083B" w:rsidRPr="002125D9" w:rsidRDefault="000B083B" w:rsidP="00DE5097">
            <w:pPr>
              <w:spacing w:after="0"/>
              <w:ind w:firstLine="0"/>
              <w:jc w:val="right"/>
              <w:rPr>
                <w:rFonts w:asciiTheme="minorHAnsi" w:hAnsiTheme="minorHAnsi" w:cs="Calibri Light"/>
                <w:b w:val="0"/>
                <w:bCs w:val="0"/>
                <w:sz w:val="18"/>
                <w:szCs w:val="18"/>
                <w:highlight w:val="lightGray"/>
              </w:rPr>
            </w:pPr>
            <w:r w:rsidRPr="002125D9">
              <w:rPr>
                <w:rFonts w:cs="Calibri Light"/>
                <w:sz w:val="18"/>
                <w:szCs w:val="18"/>
              </w:rPr>
              <w:t>-</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3.</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Wynik z operacji finansowych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B083B" w:rsidRPr="002125D9"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Cs/>
                <w:sz w:val="18"/>
                <w:szCs w:val="18"/>
              </w:rPr>
            </w:pPr>
            <w:r w:rsidRPr="002125D9">
              <w:rPr>
                <w:rFonts w:cs="Calibri Light"/>
                <w:sz w:val="18"/>
                <w:szCs w:val="18"/>
              </w:rPr>
              <w:t xml:space="preserve">564 824,7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spacing w:after="0"/>
              <w:ind w:firstLine="0"/>
              <w:jc w:val="right"/>
              <w:rPr>
                <w:rFonts w:asciiTheme="minorHAnsi" w:hAnsiTheme="minorHAnsi" w:cs="Calibri Light"/>
                <w:sz w:val="18"/>
                <w:szCs w:val="18"/>
                <w:highlight w:val="lightGray"/>
              </w:rPr>
            </w:pPr>
            <w:r w:rsidRPr="003221CC">
              <w:rPr>
                <w:rFonts w:cs="Calibri Light"/>
                <w:sz w:val="18"/>
                <w:szCs w:val="18"/>
              </w:rPr>
              <w:t>811 984,1</w:t>
            </w:r>
          </w:p>
        </w:tc>
        <w:tc>
          <w:tcPr>
            <w:cnfStyle w:val="000100000000" w:firstRow="0" w:lastRow="0" w:firstColumn="0" w:lastColumn="1" w:oddVBand="0" w:evenVBand="0" w:oddHBand="0" w:evenHBand="0" w:firstRowFirstColumn="0" w:firstRowLastColumn="0" w:lastRowFirstColumn="0" w:lastRowLastColumn="0"/>
            <w:tcW w:w="1412" w:type="dxa"/>
            <w:tcBorders>
              <w:top w:val="none" w:sz="0" w:space="0" w:color="auto"/>
              <w:bottom w:val="none" w:sz="0" w:space="0" w:color="auto"/>
              <w:right w:val="none" w:sz="0" w:space="0" w:color="auto"/>
            </w:tcBorders>
            <w:hideMark/>
          </w:tcPr>
          <w:p w:rsidR="000B083B" w:rsidRPr="002125D9" w:rsidRDefault="000B083B" w:rsidP="00DE5097">
            <w:pPr>
              <w:spacing w:after="0"/>
              <w:ind w:firstLine="0"/>
              <w:jc w:val="right"/>
              <w:rPr>
                <w:rFonts w:asciiTheme="minorHAnsi" w:hAnsiTheme="minorHAnsi" w:cs="Calibri Light"/>
                <w:b w:val="0"/>
                <w:bCs w:val="0"/>
                <w:sz w:val="18"/>
                <w:szCs w:val="18"/>
                <w:highlight w:val="lightGray"/>
              </w:rPr>
            </w:pPr>
            <w:r>
              <w:rPr>
                <w:rFonts w:cs="Calibri Light"/>
                <w:b w:val="0"/>
                <w:sz w:val="18"/>
                <w:szCs w:val="18"/>
              </w:rPr>
              <w:t>143,8</w:t>
            </w:r>
          </w:p>
        </w:tc>
      </w:tr>
      <w:tr w:rsidR="000B083B" w:rsidRPr="002125D9" w:rsidTr="00DE5097">
        <w:trPr>
          <w:trHeight w:val="37"/>
        </w:trPr>
        <w:tc>
          <w:tcPr>
            <w:cnfStyle w:val="001000000000" w:firstRow="0" w:lastRow="0" w:firstColumn="1" w:lastColumn="0" w:oddVBand="0" w:evenVBand="0" w:oddHBand="0" w:evenHBand="0" w:firstRowFirstColumn="0" w:firstRowLastColumn="0" w:lastRowFirstColumn="0" w:lastRowLastColumn="0"/>
            <w:tcW w:w="572" w:type="dxa"/>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4.</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Inne przychody</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bCs/>
                <w:sz w:val="18"/>
                <w:szCs w:val="18"/>
              </w:rPr>
            </w:pPr>
            <w:r w:rsidRPr="002125D9">
              <w:rPr>
                <w:rFonts w:cs="Calibri Light"/>
                <w:sz w:val="18"/>
                <w:szCs w:val="18"/>
              </w:rPr>
              <w:t xml:space="preserve">4 902,3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hideMark/>
          </w:tcPr>
          <w:p w:rsidR="000B083B" w:rsidRPr="002125D9" w:rsidRDefault="000B083B" w:rsidP="00DE5097">
            <w:pPr>
              <w:spacing w:after="0"/>
              <w:ind w:firstLine="0"/>
              <w:jc w:val="right"/>
              <w:rPr>
                <w:rFonts w:asciiTheme="minorHAnsi" w:hAnsiTheme="minorHAnsi" w:cs="Calibri Light"/>
                <w:sz w:val="18"/>
                <w:szCs w:val="18"/>
                <w:highlight w:val="lightGray"/>
              </w:rPr>
            </w:pPr>
            <w:r w:rsidRPr="003221CC">
              <w:rPr>
                <w:rFonts w:cs="Calibri Light"/>
                <w:sz w:val="18"/>
                <w:szCs w:val="18"/>
              </w:rPr>
              <w:t>5 439,7</w:t>
            </w:r>
          </w:p>
        </w:tc>
        <w:tc>
          <w:tcPr>
            <w:cnfStyle w:val="000100000000" w:firstRow="0" w:lastRow="0" w:firstColumn="0" w:lastColumn="1" w:oddVBand="0" w:evenVBand="0" w:oddHBand="0" w:evenHBand="0" w:firstRowFirstColumn="0" w:firstRowLastColumn="0" w:lastRowFirstColumn="0" w:lastRowLastColumn="0"/>
            <w:tcW w:w="1412" w:type="dxa"/>
            <w:hideMark/>
          </w:tcPr>
          <w:p w:rsidR="000B083B" w:rsidRPr="002125D9" w:rsidRDefault="000B083B" w:rsidP="00DE5097">
            <w:pPr>
              <w:spacing w:after="0"/>
              <w:ind w:firstLine="0"/>
              <w:jc w:val="right"/>
              <w:rPr>
                <w:rFonts w:asciiTheme="minorHAnsi" w:hAnsiTheme="minorHAnsi" w:cs="Calibri Light"/>
                <w:b w:val="0"/>
                <w:bCs w:val="0"/>
                <w:sz w:val="18"/>
                <w:szCs w:val="18"/>
                <w:highlight w:val="lightGray"/>
              </w:rPr>
            </w:pPr>
            <w:r w:rsidRPr="003221CC">
              <w:rPr>
                <w:rFonts w:cs="Calibri Light"/>
                <w:b w:val="0"/>
                <w:sz w:val="18"/>
                <w:szCs w:val="18"/>
              </w:rPr>
              <w:t>111,0</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hideMark/>
          </w:tcPr>
          <w:p w:rsidR="000B083B" w:rsidRPr="002125D9" w:rsidRDefault="000B083B" w:rsidP="00DE5097">
            <w:pPr>
              <w:widowControl w:val="0"/>
              <w:spacing w:after="0"/>
              <w:ind w:firstLine="0"/>
              <w:jc w:val="center"/>
              <w:rPr>
                <w:rFonts w:cs="Calibri Light"/>
                <w:sz w:val="18"/>
                <w:szCs w:val="18"/>
              </w:rPr>
            </w:pPr>
            <w:r w:rsidRPr="002125D9">
              <w:rPr>
                <w:rFonts w:cs="Calibri Light"/>
                <w:sz w:val="18"/>
                <w:szCs w:val="18"/>
              </w:rPr>
              <w:t>5.</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after="0"/>
              <w:ind w:firstLine="0"/>
              <w:jc w:val="left"/>
              <w:rPr>
                <w:rFonts w:cs="Calibri Light"/>
                <w:b/>
                <w:sz w:val="18"/>
                <w:szCs w:val="18"/>
              </w:rPr>
            </w:pPr>
            <w:r w:rsidRPr="002125D9">
              <w:rPr>
                <w:rFonts w:cs="Calibri Light"/>
                <w:b/>
                <w:sz w:val="18"/>
                <w:szCs w:val="18"/>
              </w:rPr>
              <w:t>Wynik z tytułu różnic kursowych</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B083B" w:rsidRPr="003325F0"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bCs/>
                <w:sz w:val="18"/>
                <w:szCs w:val="18"/>
              </w:rPr>
            </w:pPr>
            <w:r w:rsidRPr="003325F0">
              <w:rPr>
                <w:rFonts w:cs="Calibri Light"/>
                <w:b/>
                <w:bCs/>
                <w:sz w:val="18"/>
                <w:szCs w:val="18"/>
              </w:rPr>
              <w:t>(5,0)</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hideMark/>
          </w:tcPr>
          <w:p w:rsidR="000B083B" w:rsidRPr="003325F0" w:rsidRDefault="000B083B" w:rsidP="00DE5097">
            <w:pPr>
              <w:tabs>
                <w:tab w:val="center" w:pos="898"/>
                <w:tab w:val="right" w:pos="1797"/>
              </w:tabs>
              <w:spacing w:after="0"/>
              <w:ind w:firstLine="0"/>
              <w:jc w:val="right"/>
              <w:rPr>
                <w:rFonts w:asciiTheme="minorHAnsi" w:hAnsiTheme="minorHAnsi" w:cs="Calibri Light"/>
                <w:b/>
                <w:bCs/>
                <w:sz w:val="18"/>
                <w:szCs w:val="18"/>
                <w:highlight w:val="lightGray"/>
              </w:rPr>
            </w:pPr>
            <w:r w:rsidRPr="003325F0">
              <w:rPr>
                <w:rFonts w:cs="Calibri Light"/>
                <w:b/>
                <w:bCs/>
                <w:sz w:val="18"/>
                <w:szCs w:val="18"/>
              </w:rPr>
              <w:t>0,00</w:t>
            </w:r>
          </w:p>
        </w:tc>
        <w:tc>
          <w:tcPr>
            <w:cnfStyle w:val="000100000000" w:firstRow="0" w:lastRow="0" w:firstColumn="0" w:lastColumn="1" w:oddVBand="0" w:evenVBand="0" w:oddHBand="0" w:evenHBand="0" w:firstRowFirstColumn="0" w:firstRowLastColumn="0" w:lastRowFirstColumn="0" w:lastRowLastColumn="0"/>
            <w:tcW w:w="1412" w:type="dxa"/>
            <w:tcBorders>
              <w:top w:val="none" w:sz="0" w:space="0" w:color="auto"/>
              <w:bottom w:val="none" w:sz="0" w:space="0" w:color="auto"/>
              <w:right w:val="none" w:sz="0" w:space="0" w:color="auto"/>
            </w:tcBorders>
            <w:hideMark/>
          </w:tcPr>
          <w:p w:rsidR="000B083B" w:rsidRPr="00041905" w:rsidRDefault="000B083B" w:rsidP="00DE5097">
            <w:pPr>
              <w:spacing w:after="0"/>
              <w:ind w:firstLine="0"/>
              <w:jc w:val="right"/>
              <w:rPr>
                <w:rFonts w:asciiTheme="minorHAnsi" w:hAnsiTheme="minorHAnsi" w:cs="Calibri Light"/>
                <w:bCs w:val="0"/>
                <w:sz w:val="18"/>
                <w:szCs w:val="18"/>
                <w:highlight w:val="lightGray"/>
              </w:rPr>
            </w:pPr>
            <w:r w:rsidRPr="00041905">
              <w:rPr>
                <w:rFonts w:cs="Calibri Light"/>
                <w:bCs w:val="0"/>
                <w:sz w:val="18"/>
                <w:szCs w:val="18"/>
              </w:rPr>
              <w:t>-</w:t>
            </w:r>
          </w:p>
        </w:tc>
      </w:tr>
      <w:tr w:rsidR="000B083B" w:rsidRPr="002125D9" w:rsidTr="00DE5097">
        <w:trPr>
          <w:trHeight w:val="37"/>
        </w:trPr>
        <w:tc>
          <w:tcPr>
            <w:cnfStyle w:val="001000000000" w:firstRow="0" w:lastRow="0" w:firstColumn="1" w:lastColumn="0" w:oddVBand="0" w:evenVBand="0" w:oddHBand="0" w:evenHBand="0" w:firstRowFirstColumn="0" w:firstRowLastColumn="0" w:lastRowFirstColumn="0" w:lastRowLastColumn="0"/>
            <w:tcW w:w="572" w:type="dxa"/>
            <w:hideMark/>
          </w:tcPr>
          <w:p w:rsidR="000B083B" w:rsidRPr="002125D9" w:rsidRDefault="000B083B" w:rsidP="00DE5097">
            <w:pPr>
              <w:widowControl w:val="0"/>
              <w:spacing w:after="0"/>
              <w:ind w:firstLine="0"/>
              <w:jc w:val="center"/>
              <w:rPr>
                <w:rFonts w:cs="Calibri Light"/>
                <w:sz w:val="18"/>
                <w:szCs w:val="18"/>
              </w:rPr>
            </w:pPr>
            <w:r w:rsidRPr="002125D9">
              <w:rPr>
                <w:rFonts w:cs="Calibri Light"/>
                <w:sz w:val="18"/>
                <w:szCs w:val="18"/>
              </w:rPr>
              <w:t>6.</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0B083B" w:rsidRPr="002125D9" w:rsidRDefault="000B083B" w:rsidP="00DE5097">
            <w:pPr>
              <w:widowControl w:val="0"/>
              <w:spacing w:after="0"/>
              <w:ind w:firstLine="0"/>
              <w:jc w:val="left"/>
              <w:rPr>
                <w:rFonts w:cs="Calibri Light"/>
                <w:b/>
                <w:sz w:val="18"/>
                <w:szCs w:val="18"/>
              </w:rPr>
            </w:pPr>
            <w:r w:rsidRPr="002125D9">
              <w:rPr>
                <w:rFonts w:cs="Calibri Light"/>
                <w:b/>
                <w:sz w:val="18"/>
                <w:szCs w:val="18"/>
              </w:rPr>
              <w:t>Koszty ogółem</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2125D9" w:rsidRDefault="000B083B" w:rsidP="00DE5097">
            <w:pPr>
              <w:widowControl w:val="0"/>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b/>
                <w:sz w:val="18"/>
                <w:szCs w:val="18"/>
              </w:rPr>
            </w:pPr>
            <w:r w:rsidRPr="002125D9">
              <w:rPr>
                <w:rFonts w:cs="Calibri Light"/>
                <w:b/>
                <w:bCs/>
                <w:sz w:val="18"/>
                <w:szCs w:val="18"/>
              </w:rPr>
              <w:t xml:space="preserve">134 458,8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hideMark/>
          </w:tcPr>
          <w:p w:rsidR="000B083B" w:rsidRPr="002125D9" w:rsidRDefault="000B083B" w:rsidP="00DE5097">
            <w:pPr>
              <w:widowControl w:val="0"/>
              <w:spacing w:after="0"/>
              <w:ind w:firstLine="0"/>
              <w:jc w:val="right"/>
              <w:rPr>
                <w:rFonts w:cs="Calibri Light"/>
                <w:b/>
                <w:bCs/>
                <w:sz w:val="18"/>
                <w:szCs w:val="18"/>
                <w:highlight w:val="lightGray"/>
              </w:rPr>
            </w:pPr>
            <w:r>
              <w:rPr>
                <w:rFonts w:cs="Calibri Light"/>
                <w:b/>
                <w:bCs/>
                <w:sz w:val="18"/>
                <w:szCs w:val="18"/>
              </w:rPr>
              <w:t>63 221,2</w:t>
            </w:r>
          </w:p>
        </w:tc>
        <w:tc>
          <w:tcPr>
            <w:cnfStyle w:val="000100000000" w:firstRow="0" w:lastRow="0" w:firstColumn="0" w:lastColumn="1" w:oddVBand="0" w:evenVBand="0" w:oddHBand="0" w:evenHBand="0" w:firstRowFirstColumn="0" w:firstRowLastColumn="0" w:lastRowFirstColumn="0" w:lastRowLastColumn="0"/>
            <w:tcW w:w="1412" w:type="dxa"/>
            <w:hideMark/>
          </w:tcPr>
          <w:p w:rsidR="000B083B" w:rsidRPr="002125D9" w:rsidRDefault="000B083B" w:rsidP="00DE5097">
            <w:pPr>
              <w:tabs>
                <w:tab w:val="left" w:pos="390"/>
                <w:tab w:val="center" w:pos="742"/>
                <w:tab w:val="right" w:pos="1485"/>
              </w:tabs>
              <w:spacing w:after="0"/>
              <w:ind w:firstLine="0"/>
              <w:jc w:val="right"/>
              <w:rPr>
                <w:rFonts w:cs="Calibri Light"/>
                <w:bCs w:val="0"/>
                <w:sz w:val="18"/>
                <w:szCs w:val="18"/>
                <w:highlight w:val="lightGray"/>
              </w:rPr>
            </w:pPr>
            <w:r>
              <w:rPr>
                <w:rFonts w:cs="Calibri Light"/>
                <w:bCs w:val="0"/>
                <w:sz w:val="18"/>
                <w:szCs w:val="18"/>
              </w:rPr>
              <w:t>47,0</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7.</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Koszty wynagrodzeń oraz ubezpieczeń i innych świadczeń</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2125D9" w:rsidRDefault="000B083B" w:rsidP="00DE5097">
            <w:pPr>
              <w:widowControl w:val="0"/>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2125D9">
              <w:rPr>
                <w:rFonts w:cs="Calibri Light"/>
                <w:sz w:val="18"/>
                <w:szCs w:val="18"/>
              </w:rPr>
              <w:t xml:space="preserve">51 936,5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after="0"/>
              <w:ind w:firstLine="0"/>
              <w:jc w:val="right"/>
              <w:rPr>
                <w:rFonts w:cs="Calibri Light"/>
                <w:bCs/>
                <w:sz w:val="18"/>
                <w:szCs w:val="18"/>
                <w:highlight w:val="lightGray"/>
              </w:rPr>
            </w:pPr>
            <w:r>
              <w:rPr>
                <w:rFonts w:cs="Calibri Light"/>
                <w:sz w:val="18"/>
                <w:szCs w:val="18"/>
              </w:rPr>
              <w:t>34 668,8</w:t>
            </w:r>
          </w:p>
        </w:tc>
        <w:tc>
          <w:tcPr>
            <w:cnfStyle w:val="000100000000" w:firstRow="0" w:lastRow="0" w:firstColumn="0" w:lastColumn="1" w:oddVBand="0" w:evenVBand="0" w:oddHBand="0" w:evenHBand="0" w:firstRowFirstColumn="0" w:firstRowLastColumn="0" w:lastRowFirstColumn="0" w:lastRowLastColumn="0"/>
            <w:tcW w:w="1412" w:type="dxa"/>
            <w:tcBorders>
              <w:top w:val="none" w:sz="0" w:space="0" w:color="auto"/>
              <w:bottom w:val="none" w:sz="0" w:space="0" w:color="auto"/>
              <w:right w:val="none" w:sz="0" w:space="0" w:color="auto"/>
            </w:tcBorders>
            <w:hideMark/>
          </w:tcPr>
          <w:p w:rsidR="000B083B" w:rsidRPr="002125D9" w:rsidRDefault="000B083B" w:rsidP="00DE5097">
            <w:pPr>
              <w:spacing w:after="0"/>
              <w:ind w:firstLine="0"/>
              <w:jc w:val="right"/>
              <w:rPr>
                <w:rFonts w:cs="Calibri Light"/>
                <w:b w:val="0"/>
                <w:bCs w:val="0"/>
                <w:sz w:val="18"/>
                <w:szCs w:val="18"/>
                <w:highlight w:val="lightGray"/>
              </w:rPr>
            </w:pPr>
            <w:r>
              <w:rPr>
                <w:rFonts w:cs="Calibri Light"/>
                <w:b w:val="0"/>
                <w:sz w:val="18"/>
                <w:szCs w:val="18"/>
              </w:rPr>
              <w:t>66,8</w:t>
            </w:r>
          </w:p>
        </w:tc>
      </w:tr>
      <w:tr w:rsidR="000B083B" w:rsidRPr="002125D9" w:rsidTr="00DE5097">
        <w:trPr>
          <w:trHeight w:val="424"/>
        </w:trPr>
        <w:tc>
          <w:tcPr>
            <w:cnfStyle w:val="001000000000" w:firstRow="0" w:lastRow="0" w:firstColumn="1" w:lastColumn="0" w:oddVBand="0" w:evenVBand="0" w:oddHBand="0" w:evenHBand="0" w:firstRowFirstColumn="0" w:firstRowLastColumn="0" w:lastRowFirstColumn="0" w:lastRowLastColumn="0"/>
            <w:tcW w:w="572" w:type="dxa"/>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8.</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Usługi obce z wyłączeniem usług z pkt 9</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EE472A"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bCs/>
                <w:sz w:val="18"/>
                <w:szCs w:val="18"/>
              </w:rPr>
            </w:pPr>
            <w:r w:rsidRPr="00EE472A">
              <w:rPr>
                <w:rFonts w:cs="Calibri Light"/>
                <w:sz w:val="18"/>
                <w:szCs w:val="18"/>
              </w:rPr>
              <w:t xml:space="preserve">52 347,7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hideMark/>
          </w:tcPr>
          <w:p w:rsidR="000B083B" w:rsidRPr="00EE472A" w:rsidRDefault="000B083B" w:rsidP="00DE5097">
            <w:pPr>
              <w:widowControl w:val="0"/>
              <w:spacing w:after="0"/>
              <w:ind w:firstLine="0"/>
              <w:jc w:val="right"/>
              <w:rPr>
                <w:rFonts w:cs="Calibri Light"/>
                <w:bCs/>
                <w:sz w:val="18"/>
                <w:szCs w:val="18"/>
                <w:highlight w:val="lightGray"/>
              </w:rPr>
            </w:pPr>
            <w:r w:rsidRPr="00EE472A">
              <w:rPr>
                <w:rFonts w:cs="Calibri Light"/>
                <w:sz w:val="18"/>
                <w:szCs w:val="18"/>
              </w:rPr>
              <w:t>20 729,5</w:t>
            </w:r>
          </w:p>
        </w:tc>
        <w:tc>
          <w:tcPr>
            <w:cnfStyle w:val="000100000000" w:firstRow="0" w:lastRow="0" w:firstColumn="0" w:lastColumn="1" w:oddVBand="0" w:evenVBand="0" w:oddHBand="0" w:evenHBand="0" w:firstRowFirstColumn="0" w:firstRowLastColumn="0" w:lastRowFirstColumn="0" w:lastRowLastColumn="0"/>
            <w:tcW w:w="1412" w:type="dxa"/>
            <w:hideMark/>
          </w:tcPr>
          <w:p w:rsidR="000B083B" w:rsidRPr="00EE472A" w:rsidRDefault="000B083B" w:rsidP="00DE5097">
            <w:pPr>
              <w:spacing w:after="0"/>
              <w:ind w:firstLine="0"/>
              <w:jc w:val="right"/>
              <w:rPr>
                <w:rFonts w:cs="Calibri Light"/>
                <w:b w:val="0"/>
                <w:bCs w:val="0"/>
                <w:sz w:val="18"/>
                <w:szCs w:val="18"/>
                <w:highlight w:val="lightGray"/>
              </w:rPr>
            </w:pPr>
            <w:r>
              <w:rPr>
                <w:rFonts w:cs="Calibri Light"/>
                <w:b w:val="0"/>
                <w:sz w:val="18"/>
                <w:szCs w:val="18"/>
              </w:rPr>
              <w:t>39,6</w:t>
            </w:r>
            <w:r w:rsidRPr="00EE472A">
              <w:rPr>
                <w:rFonts w:cs="Calibri Light"/>
                <w:b w:val="0"/>
                <w:sz w:val="18"/>
                <w:szCs w:val="18"/>
              </w:rPr>
              <w:t xml:space="preserve"> </w:t>
            </w:r>
          </w:p>
        </w:tc>
      </w:tr>
      <w:tr w:rsidR="000B083B" w:rsidRPr="002125D9" w:rsidTr="00DE509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9.</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Usługi w zakresie eksploatacji i administracji budynku</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EE472A"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EE472A">
              <w:rPr>
                <w:rFonts w:cs="Calibri Light"/>
                <w:sz w:val="18"/>
                <w:szCs w:val="18"/>
              </w:rPr>
              <w:t xml:space="preserve">3 061,6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hideMark/>
          </w:tcPr>
          <w:p w:rsidR="000B083B" w:rsidRPr="00EE472A" w:rsidRDefault="000B083B" w:rsidP="00DE5097">
            <w:pPr>
              <w:widowControl w:val="0"/>
              <w:spacing w:after="0"/>
              <w:ind w:firstLine="0"/>
              <w:jc w:val="right"/>
              <w:rPr>
                <w:rFonts w:cs="Calibri Light"/>
                <w:bCs/>
                <w:sz w:val="18"/>
                <w:szCs w:val="18"/>
                <w:highlight w:val="lightGray"/>
              </w:rPr>
            </w:pPr>
            <w:r w:rsidRPr="00EE472A">
              <w:rPr>
                <w:rFonts w:cs="Calibri Light"/>
                <w:sz w:val="18"/>
                <w:szCs w:val="18"/>
              </w:rPr>
              <w:t>989,5</w:t>
            </w:r>
          </w:p>
        </w:tc>
        <w:tc>
          <w:tcPr>
            <w:cnfStyle w:val="000100000000" w:firstRow="0" w:lastRow="0" w:firstColumn="0" w:lastColumn="1" w:oddVBand="0" w:evenVBand="0" w:oddHBand="0" w:evenHBand="0" w:firstRowFirstColumn="0" w:firstRowLastColumn="0" w:lastRowFirstColumn="0" w:lastRowLastColumn="0"/>
            <w:tcW w:w="1412" w:type="dxa"/>
            <w:tcBorders>
              <w:top w:val="none" w:sz="0" w:space="0" w:color="auto"/>
              <w:bottom w:val="none" w:sz="0" w:space="0" w:color="auto"/>
              <w:right w:val="none" w:sz="0" w:space="0" w:color="auto"/>
            </w:tcBorders>
            <w:hideMark/>
          </w:tcPr>
          <w:p w:rsidR="000B083B" w:rsidRPr="00EE472A" w:rsidRDefault="000B083B" w:rsidP="00DE5097">
            <w:pPr>
              <w:spacing w:after="0"/>
              <w:ind w:firstLine="0"/>
              <w:jc w:val="right"/>
              <w:rPr>
                <w:rFonts w:cs="Calibri Light"/>
                <w:b w:val="0"/>
                <w:bCs w:val="0"/>
                <w:sz w:val="18"/>
                <w:szCs w:val="18"/>
                <w:highlight w:val="lightGray"/>
              </w:rPr>
            </w:pPr>
            <w:r w:rsidRPr="00EE472A">
              <w:rPr>
                <w:rFonts w:cs="Calibri Light"/>
                <w:b w:val="0"/>
                <w:sz w:val="18"/>
                <w:szCs w:val="18"/>
              </w:rPr>
              <w:t xml:space="preserve">32,3 </w:t>
            </w:r>
          </w:p>
        </w:tc>
      </w:tr>
      <w:tr w:rsidR="000B083B" w:rsidRPr="002125D9" w:rsidTr="00DE5097">
        <w:trPr>
          <w:trHeight w:val="127"/>
        </w:trPr>
        <w:tc>
          <w:tcPr>
            <w:cnfStyle w:val="001000000000" w:firstRow="0" w:lastRow="0" w:firstColumn="1" w:lastColumn="0" w:oddVBand="0" w:evenVBand="0" w:oddHBand="0" w:evenHBand="0" w:firstRowFirstColumn="0" w:firstRowLastColumn="0" w:lastRowFirstColumn="0" w:lastRowLastColumn="0"/>
            <w:tcW w:w="572" w:type="dxa"/>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10.</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Amortyzacja</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2125D9" w:rsidRDefault="000B083B" w:rsidP="00DE5097">
            <w:pPr>
              <w:spacing w:after="0"/>
              <w:ind w:firstLine="0"/>
              <w:jc w:val="right"/>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2125D9">
              <w:rPr>
                <w:rFonts w:cs="Calibri Light"/>
                <w:sz w:val="18"/>
                <w:szCs w:val="18"/>
              </w:rPr>
              <w:t xml:space="preserve">5 398,7 </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hideMark/>
          </w:tcPr>
          <w:p w:rsidR="000B083B" w:rsidRPr="002125D9" w:rsidRDefault="000B083B" w:rsidP="00DE5097">
            <w:pPr>
              <w:widowControl w:val="0"/>
              <w:spacing w:after="0"/>
              <w:ind w:firstLine="0"/>
              <w:jc w:val="right"/>
              <w:rPr>
                <w:rFonts w:cs="Calibri Light"/>
                <w:bCs/>
                <w:sz w:val="18"/>
                <w:szCs w:val="18"/>
                <w:highlight w:val="lightGray"/>
              </w:rPr>
            </w:pPr>
            <w:r w:rsidRPr="003221CC">
              <w:rPr>
                <w:rFonts w:cs="Calibri Light"/>
                <w:sz w:val="18"/>
                <w:szCs w:val="18"/>
              </w:rPr>
              <w:t>2 451,5</w:t>
            </w:r>
          </w:p>
        </w:tc>
        <w:tc>
          <w:tcPr>
            <w:cnfStyle w:val="000100000000" w:firstRow="0" w:lastRow="0" w:firstColumn="0" w:lastColumn="1" w:oddVBand="0" w:evenVBand="0" w:oddHBand="0" w:evenHBand="0" w:firstRowFirstColumn="0" w:firstRowLastColumn="0" w:lastRowFirstColumn="0" w:lastRowLastColumn="0"/>
            <w:tcW w:w="1412" w:type="dxa"/>
            <w:hideMark/>
          </w:tcPr>
          <w:p w:rsidR="000B083B" w:rsidRPr="002125D9" w:rsidRDefault="000B083B" w:rsidP="00DE5097">
            <w:pPr>
              <w:spacing w:after="0"/>
              <w:ind w:firstLine="0"/>
              <w:jc w:val="right"/>
              <w:rPr>
                <w:rFonts w:cs="Calibri Light"/>
                <w:b w:val="0"/>
                <w:bCs w:val="0"/>
                <w:sz w:val="18"/>
                <w:szCs w:val="18"/>
                <w:highlight w:val="lightGray"/>
              </w:rPr>
            </w:pPr>
            <w:r>
              <w:rPr>
                <w:rFonts w:cs="Calibri Light"/>
                <w:b w:val="0"/>
                <w:sz w:val="18"/>
                <w:szCs w:val="18"/>
              </w:rPr>
              <w:t>45,4</w:t>
            </w:r>
            <w:r w:rsidRPr="002125D9">
              <w:rPr>
                <w:rFonts w:cs="Calibri Light"/>
                <w:b w:val="0"/>
                <w:sz w:val="18"/>
                <w:szCs w:val="18"/>
              </w:rPr>
              <w:t xml:space="preserve"> </w:t>
            </w:r>
          </w:p>
        </w:tc>
      </w:tr>
      <w:tr w:rsidR="000B083B" w:rsidRPr="00377AE3" w:rsidTr="00DE509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hideMark/>
          </w:tcPr>
          <w:p w:rsidR="000B083B" w:rsidRPr="002125D9" w:rsidRDefault="000B083B" w:rsidP="00DE5097">
            <w:pPr>
              <w:widowControl w:val="0"/>
              <w:spacing w:after="0"/>
              <w:ind w:firstLine="0"/>
              <w:jc w:val="center"/>
              <w:rPr>
                <w:rFonts w:cs="Calibri Light"/>
                <w:b w:val="0"/>
                <w:sz w:val="18"/>
                <w:szCs w:val="18"/>
              </w:rPr>
            </w:pPr>
            <w:r w:rsidRPr="002125D9">
              <w:rPr>
                <w:rFonts w:cs="Calibri Light"/>
                <w:b w:val="0"/>
                <w:sz w:val="18"/>
                <w:szCs w:val="18"/>
              </w:rPr>
              <w:t>11.</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after="0"/>
              <w:ind w:firstLine="0"/>
              <w:jc w:val="left"/>
              <w:rPr>
                <w:rFonts w:cs="Calibri Light"/>
                <w:sz w:val="18"/>
                <w:szCs w:val="18"/>
              </w:rPr>
            </w:pPr>
            <w:r w:rsidRPr="002125D9">
              <w:rPr>
                <w:rFonts w:cs="Calibri Light"/>
                <w:sz w:val="18"/>
                <w:szCs w:val="18"/>
              </w:rPr>
              <w:t>Pozostałe koszty</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EE472A" w:rsidRDefault="000B083B" w:rsidP="00DE5097">
            <w:pPr>
              <w:spacing w:after="0"/>
              <w:ind w:firstLine="0"/>
              <w:jc w:val="righ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EE472A">
              <w:rPr>
                <w:rFonts w:cs="Calibri Light"/>
                <w:sz w:val="18"/>
                <w:szCs w:val="18"/>
              </w:rPr>
              <w:t xml:space="preserve">21 714,3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hideMark/>
          </w:tcPr>
          <w:p w:rsidR="000B083B" w:rsidRPr="00EE472A" w:rsidRDefault="000B083B" w:rsidP="00DE5097">
            <w:pPr>
              <w:widowControl w:val="0"/>
              <w:spacing w:after="0"/>
              <w:ind w:firstLine="0"/>
              <w:jc w:val="right"/>
              <w:rPr>
                <w:rFonts w:cs="Calibri Light"/>
                <w:bCs/>
                <w:color w:val="FF0000"/>
                <w:sz w:val="18"/>
                <w:szCs w:val="18"/>
                <w:highlight w:val="lightGray"/>
              </w:rPr>
            </w:pPr>
            <w:r>
              <w:rPr>
                <w:rFonts w:cs="Calibri Light"/>
                <w:sz w:val="18"/>
                <w:szCs w:val="18"/>
              </w:rPr>
              <w:t>4 381,9</w:t>
            </w:r>
            <w:r w:rsidRPr="00377AE3">
              <w:rPr>
                <w:rFonts w:cs="Calibri Light"/>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1412" w:type="dxa"/>
            <w:tcBorders>
              <w:top w:val="none" w:sz="0" w:space="0" w:color="auto"/>
              <w:bottom w:val="none" w:sz="0" w:space="0" w:color="auto"/>
              <w:right w:val="none" w:sz="0" w:space="0" w:color="auto"/>
            </w:tcBorders>
            <w:hideMark/>
          </w:tcPr>
          <w:p w:rsidR="000B083B" w:rsidRPr="00377AE3" w:rsidRDefault="000B083B" w:rsidP="00DE5097">
            <w:pPr>
              <w:spacing w:after="0"/>
              <w:ind w:firstLine="0"/>
              <w:jc w:val="right"/>
              <w:rPr>
                <w:rFonts w:cs="Calibri Light"/>
                <w:b w:val="0"/>
                <w:bCs w:val="0"/>
                <w:sz w:val="18"/>
                <w:szCs w:val="18"/>
                <w:highlight w:val="lightGray"/>
              </w:rPr>
            </w:pPr>
            <w:r>
              <w:rPr>
                <w:rFonts w:cs="Calibri Light"/>
                <w:b w:val="0"/>
                <w:sz w:val="18"/>
                <w:szCs w:val="18"/>
              </w:rPr>
              <w:t>20,2</w:t>
            </w:r>
          </w:p>
        </w:tc>
      </w:tr>
      <w:tr w:rsidR="000B083B" w:rsidRPr="002125D9" w:rsidTr="00DE5097">
        <w:trPr>
          <w:cnfStyle w:val="010000000000" w:firstRow="0" w:lastRow="1" w:firstColumn="0" w:lastColumn="0" w:oddVBand="0" w:evenVBand="0" w:oddHBand="0"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572" w:type="dxa"/>
            <w:tcBorders>
              <w:top w:val="none" w:sz="0" w:space="0" w:color="auto"/>
              <w:left w:val="none" w:sz="0" w:space="0" w:color="auto"/>
              <w:bottom w:val="none" w:sz="0" w:space="0" w:color="auto"/>
            </w:tcBorders>
            <w:hideMark/>
          </w:tcPr>
          <w:p w:rsidR="000B083B" w:rsidRPr="002125D9" w:rsidRDefault="000B083B" w:rsidP="00DE5097">
            <w:pPr>
              <w:widowControl w:val="0"/>
              <w:spacing w:before="0" w:beforeAutospacing="0" w:after="0" w:afterAutospacing="0"/>
              <w:ind w:firstLine="0"/>
              <w:jc w:val="center"/>
              <w:rPr>
                <w:rFonts w:cs="Calibri Light"/>
                <w:sz w:val="18"/>
                <w:szCs w:val="18"/>
              </w:rPr>
            </w:pPr>
            <w:r w:rsidRPr="002125D9">
              <w:rPr>
                <w:rFonts w:cs="Calibri Light"/>
                <w:sz w:val="18"/>
                <w:szCs w:val="18"/>
              </w:rPr>
              <w:t>12.</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before="0" w:beforeAutospacing="0" w:after="0" w:afterAutospacing="0"/>
              <w:ind w:firstLine="0"/>
              <w:jc w:val="left"/>
              <w:rPr>
                <w:rFonts w:cs="Calibri Light"/>
                <w:sz w:val="18"/>
                <w:szCs w:val="18"/>
              </w:rPr>
            </w:pPr>
            <w:r w:rsidRPr="002125D9">
              <w:rPr>
                <w:rFonts w:cs="Calibri Light"/>
                <w:sz w:val="18"/>
                <w:szCs w:val="18"/>
              </w:rPr>
              <w:t>Wynik finansowy (zysk)</w:t>
            </w:r>
          </w:p>
        </w:tc>
        <w:tc>
          <w:tcPr>
            <w:tcW w:w="1842" w:type="dxa"/>
            <w:tcBorders>
              <w:top w:val="nil"/>
              <w:left w:val="single" w:sz="4" w:space="0" w:color="auto"/>
              <w:bottom w:val="single" w:sz="4" w:space="0" w:color="auto"/>
              <w:right w:val="single" w:sz="4" w:space="0" w:color="auto"/>
            </w:tcBorders>
            <w:shd w:val="clear" w:color="auto" w:fill="auto"/>
            <w:hideMark/>
          </w:tcPr>
          <w:p w:rsidR="000B083B" w:rsidRPr="002125D9" w:rsidRDefault="000B083B" w:rsidP="00DE5097">
            <w:pPr>
              <w:widowControl w:val="0"/>
              <w:spacing w:before="0" w:beforeAutospacing="0" w:after="0" w:afterAutospacing="0"/>
              <w:ind w:firstLine="0"/>
              <w:jc w:val="right"/>
              <w:cnfStyle w:val="010000000000" w:firstRow="0" w:lastRow="1" w:firstColumn="0" w:lastColumn="0" w:oddVBand="0" w:evenVBand="0" w:oddHBand="0" w:evenHBand="0" w:firstRowFirstColumn="0" w:firstRowLastColumn="0" w:lastRowFirstColumn="0" w:lastRowLastColumn="0"/>
              <w:rPr>
                <w:rFonts w:cs="Calibri Light"/>
                <w:sz w:val="18"/>
                <w:szCs w:val="18"/>
              </w:rPr>
            </w:pPr>
            <w:r w:rsidRPr="002125D9">
              <w:rPr>
                <w:rFonts w:cs="Calibri Light"/>
                <w:bCs w:val="0"/>
                <w:sz w:val="18"/>
                <w:szCs w:val="18"/>
              </w:rPr>
              <w:t xml:space="preserve">435 263,2 </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hideMark/>
          </w:tcPr>
          <w:p w:rsidR="000B083B" w:rsidRPr="002125D9" w:rsidRDefault="000B083B" w:rsidP="00DE5097">
            <w:pPr>
              <w:widowControl w:val="0"/>
              <w:spacing w:before="0" w:beforeAutospacing="0" w:after="0" w:afterAutospacing="0"/>
              <w:ind w:firstLine="0"/>
              <w:jc w:val="right"/>
              <w:rPr>
                <w:rFonts w:cs="Calibri Light"/>
                <w:sz w:val="18"/>
                <w:szCs w:val="18"/>
                <w:highlight w:val="lightGray"/>
              </w:rPr>
            </w:pPr>
            <w:r w:rsidRPr="00194792">
              <w:rPr>
                <w:rFonts w:cs="Calibri Light"/>
                <w:bCs w:val="0"/>
                <w:sz w:val="18"/>
                <w:szCs w:val="18"/>
              </w:rPr>
              <w:t>754 202,6</w:t>
            </w:r>
          </w:p>
        </w:tc>
        <w:tc>
          <w:tcPr>
            <w:cnfStyle w:val="000100000000" w:firstRow="0" w:lastRow="0" w:firstColumn="0" w:lastColumn="1" w:oddVBand="0" w:evenVBand="0" w:oddHBand="0" w:evenHBand="0" w:firstRowFirstColumn="0" w:firstRowLastColumn="0" w:lastRowFirstColumn="0" w:lastRowLastColumn="0"/>
            <w:tcW w:w="1412" w:type="dxa"/>
            <w:tcBorders>
              <w:top w:val="none" w:sz="0" w:space="0" w:color="auto"/>
              <w:bottom w:val="none" w:sz="0" w:space="0" w:color="auto"/>
              <w:right w:val="none" w:sz="0" w:space="0" w:color="auto"/>
            </w:tcBorders>
            <w:hideMark/>
          </w:tcPr>
          <w:p w:rsidR="000B083B" w:rsidRPr="00194792" w:rsidRDefault="000B083B" w:rsidP="00DE5097">
            <w:pPr>
              <w:tabs>
                <w:tab w:val="left" w:pos="390"/>
                <w:tab w:val="center" w:pos="742"/>
                <w:tab w:val="right" w:pos="1485"/>
              </w:tabs>
              <w:spacing w:before="0" w:beforeAutospacing="0" w:after="0" w:afterAutospacing="0"/>
              <w:ind w:firstLine="0"/>
              <w:jc w:val="right"/>
              <w:rPr>
                <w:rFonts w:cs="Calibri Light"/>
                <w:bCs w:val="0"/>
                <w:sz w:val="18"/>
                <w:szCs w:val="18"/>
              </w:rPr>
            </w:pPr>
            <w:r w:rsidRPr="00194792">
              <w:rPr>
                <w:rFonts w:cs="Calibri Light"/>
                <w:bCs w:val="0"/>
                <w:sz w:val="18"/>
                <w:szCs w:val="18"/>
              </w:rPr>
              <w:t>173,3</w:t>
            </w:r>
          </w:p>
        </w:tc>
      </w:tr>
    </w:tbl>
    <w:p w:rsidR="000B083B" w:rsidRPr="00BE6679" w:rsidRDefault="000B083B" w:rsidP="000B083B">
      <w:pPr>
        <w:rPr>
          <w:sz w:val="2"/>
          <w:szCs w:val="2"/>
          <w:highlight w:val="lightGray"/>
        </w:rPr>
      </w:pPr>
    </w:p>
    <w:p w:rsidR="000B083B" w:rsidRPr="009F5BC5" w:rsidRDefault="000B083B" w:rsidP="000B083B">
      <w:pPr>
        <w:spacing w:after="120"/>
      </w:pPr>
      <w:r w:rsidRPr="009F5BC5">
        <w:t xml:space="preserve">Główną pozycję przychodów stanowi wynik z operacji finansowych, który obejmuje wynik na papierach wartościowych w wysokości </w:t>
      </w:r>
      <w:r>
        <w:rPr>
          <w:rFonts w:eastAsiaTheme="minorHAnsi" w:cs="Calibri Light"/>
          <w:lang w:eastAsia="en-US"/>
        </w:rPr>
        <w:t>811 904,6</w:t>
      </w:r>
      <w:r>
        <w:rPr>
          <w:rFonts w:cs="Calibri Light"/>
          <w:sz w:val="18"/>
          <w:szCs w:val="18"/>
        </w:rPr>
        <w:t xml:space="preserve"> </w:t>
      </w:r>
      <w:r w:rsidRPr="009F5BC5">
        <w:t>tys. zł, w tym:</w:t>
      </w:r>
    </w:p>
    <w:p w:rsidR="000B083B" w:rsidRPr="009F5BC5" w:rsidRDefault="000B083B" w:rsidP="000B083B">
      <w:pPr>
        <w:numPr>
          <w:ilvl w:val="0"/>
          <w:numId w:val="35"/>
        </w:numPr>
        <w:autoSpaceDE w:val="0"/>
        <w:autoSpaceDN w:val="0"/>
        <w:adjustRightInd w:val="0"/>
        <w:spacing w:after="120"/>
        <w:contextualSpacing/>
        <w:rPr>
          <w:rFonts w:eastAsiaTheme="minorHAnsi" w:cs="Calibri Light"/>
          <w:lang w:eastAsia="en-US"/>
        </w:rPr>
      </w:pPr>
      <w:r w:rsidRPr="009F5BC5">
        <w:rPr>
          <w:rFonts w:eastAsiaTheme="minorHAnsi" w:cs="Calibri Light"/>
          <w:lang w:eastAsia="en-US"/>
        </w:rPr>
        <w:t xml:space="preserve">wynik na obligacjach skarbowych – </w:t>
      </w:r>
      <w:r>
        <w:rPr>
          <w:rFonts w:eastAsiaTheme="minorHAnsi" w:cs="Calibri Light"/>
          <w:lang w:eastAsia="en-US"/>
        </w:rPr>
        <w:t>545 834,2</w:t>
      </w:r>
      <w:r w:rsidRPr="009F5BC5">
        <w:rPr>
          <w:rFonts w:eastAsiaTheme="minorHAnsi" w:cs="Calibri Light"/>
          <w:lang w:eastAsia="en-US"/>
        </w:rPr>
        <w:t> tys. zł;</w:t>
      </w:r>
    </w:p>
    <w:p w:rsidR="000B083B" w:rsidRPr="009F5BC5" w:rsidRDefault="000B083B" w:rsidP="000B083B">
      <w:pPr>
        <w:numPr>
          <w:ilvl w:val="0"/>
          <w:numId w:val="35"/>
        </w:numPr>
        <w:autoSpaceDE w:val="0"/>
        <w:autoSpaceDN w:val="0"/>
        <w:adjustRightInd w:val="0"/>
        <w:spacing w:after="120"/>
        <w:contextualSpacing/>
        <w:rPr>
          <w:rFonts w:eastAsiaTheme="minorHAnsi" w:cs="Calibri Light"/>
          <w:lang w:eastAsia="en-US"/>
        </w:rPr>
      </w:pPr>
      <w:r w:rsidRPr="009F5BC5">
        <w:rPr>
          <w:rFonts w:eastAsiaTheme="minorHAnsi" w:cs="Calibri Light"/>
          <w:lang w:eastAsia="en-US"/>
        </w:rPr>
        <w:t xml:space="preserve">wynik na bonach pieniężnych NBP – </w:t>
      </w:r>
      <w:r>
        <w:rPr>
          <w:rFonts w:eastAsiaTheme="minorHAnsi" w:cs="Calibri Light"/>
          <w:lang w:eastAsia="en-US"/>
        </w:rPr>
        <w:t>240 345,8</w:t>
      </w:r>
      <w:r w:rsidRPr="009F5BC5">
        <w:rPr>
          <w:rFonts w:eastAsiaTheme="minorHAnsi" w:cs="Calibri Light"/>
          <w:lang w:eastAsia="en-US"/>
        </w:rPr>
        <w:t> tys. zł;</w:t>
      </w:r>
    </w:p>
    <w:p w:rsidR="000B083B" w:rsidRPr="009F5BC5" w:rsidRDefault="000B083B" w:rsidP="000B083B">
      <w:pPr>
        <w:numPr>
          <w:ilvl w:val="0"/>
          <w:numId w:val="35"/>
        </w:numPr>
        <w:autoSpaceDE w:val="0"/>
        <w:autoSpaceDN w:val="0"/>
        <w:adjustRightInd w:val="0"/>
        <w:spacing w:after="120"/>
        <w:contextualSpacing/>
        <w:rPr>
          <w:rFonts w:eastAsiaTheme="minorHAnsi" w:cs="Calibri Light"/>
          <w:lang w:eastAsia="en-US"/>
        </w:rPr>
      </w:pPr>
      <w:r w:rsidRPr="009161C0">
        <w:rPr>
          <w:rFonts w:eastAsiaTheme="minorHAnsi" w:cs="Calibri Light"/>
          <w:lang w:eastAsia="en-US"/>
        </w:rPr>
        <w:t xml:space="preserve">wynik na transakcjach buy-sell back i sell-buy back – </w:t>
      </w:r>
      <w:r>
        <w:rPr>
          <w:rFonts w:eastAsiaTheme="minorHAnsi" w:cs="Calibri Light"/>
          <w:lang w:eastAsia="en-US"/>
        </w:rPr>
        <w:t>2 419</w:t>
      </w:r>
      <w:r w:rsidRPr="009161C0">
        <w:rPr>
          <w:rFonts w:eastAsiaTheme="minorHAnsi" w:cs="Calibri Light"/>
          <w:lang w:eastAsia="en-US"/>
        </w:rPr>
        <w:t>,</w:t>
      </w:r>
      <w:r>
        <w:rPr>
          <w:rFonts w:eastAsiaTheme="minorHAnsi" w:cs="Calibri Light"/>
          <w:lang w:eastAsia="en-US"/>
        </w:rPr>
        <w:t>1</w:t>
      </w:r>
      <w:r w:rsidRPr="009161C0">
        <w:rPr>
          <w:rFonts w:eastAsiaTheme="minorHAnsi" w:cs="Calibri Light"/>
          <w:lang w:eastAsia="en-US"/>
        </w:rPr>
        <w:t> tys. zł</w:t>
      </w:r>
      <w:r w:rsidRPr="009F5BC5">
        <w:rPr>
          <w:rFonts w:eastAsiaTheme="minorHAnsi" w:cs="Calibri Light"/>
          <w:lang w:eastAsia="en-US"/>
        </w:rPr>
        <w:t>;</w:t>
      </w:r>
    </w:p>
    <w:p w:rsidR="000B083B" w:rsidRPr="009F5BC5" w:rsidRDefault="000B083B" w:rsidP="000B083B">
      <w:pPr>
        <w:numPr>
          <w:ilvl w:val="0"/>
          <w:numId w:val="35"/>
        </w:numPr>
        <w:autoSpaceDE w:val="0"/>
        <w:autoSpaceDN w:val="0"/>
        <w:adjustRightInd w:val="0"/>
        <w:spacing w:after="120"/>
        <w:contextualSpacing/>
        <w:rPr>
          <w:rFonts w:eastAsiaTheme="minorHAnsi" w:cs="Calibri Light"/>
          <w:lang w:eastAsia="en-US"/>
        </w:rPr>
      </w:pPr>
      <w:r w:rsidRPr="009F5BC5">
        <w:rPr>
          <w:rFonts w:eastAsiaTheme="minorHAnsi" w:cs="Calibri Light"/>
          <w:lang w:eastAsia="en-US"/>
        </w:rPr>
        <w:t xml:space="preserve">wynik na papierach wartościowych gwarantowanych przez Skarb Państwa lub NBP – </w:t>
      </w:r>
      <w:r>
        <w:rPr>
          <w:rFonts w:eastAsiaTheme="minorHAnsi" w:cs="Calibri Light"/>
          <w:lang w:eastAsia="en-US"/>
        </w:rPr>
        <w:br/>
        <w:t>23  305,5</w:t>
      </w:r>
      <w:r w:rsidRPr="009F5BC5">
        <w:rPr>
          <w:rFonts w:eastAsiaTheme="minorHAnsi" w:cs="Calibri Light"/>
          <w:lang w:eastAsia="en-US"/>
        </w:rPr>
        <w:t> tys. zł;</w:t>
      </w:r>
    </w:p>
    <w:p w:rsidR="000B083B" w:rsidRPr="009F5BC5" w:rsidRDefault="000B083B" w:rsidP="000B083B">
      <w:pPr>
        <w:spacing w:after="120"/>
        <w:ind w:firstLine="0"/>
      </w:pPr>
      <w:r w:rsidRPr="009F5BC5">
        <w:t xml:space="preserve">oraz przychody z tytułu odsetek od środków zgromadzonych na rachunku bieżącym i lokat terminowych w kwocie </w:t>
      </w:r>
      <w:r>
        <w:t>79</w:t>
      </w:r>
      <w:r w:rsidRPr="009F5BC5">
        <w:t>,</w:t>
      </w:r>
      <w:r>
        <w:t>5</w:t>
      </w:r>
      <w:r w:rsidRPr="009F5BC5">
        <w:t> tys. zł.</w:t>
      </w:r>
    </w:p>
    <w:p w:rsidR="000B083B" w:rsidRPr="002E782C" w:rsidRDefault="000B083B" w:rsidP="000B083B">
      <w:pPr>
        <w:widowControl w:val="0"/>
        <w:spacing w:after="120"/>
        <w:rPr>
          <w:rFonts w:eastAsia="Times New Roman" w:cs="Calibri Light"/>
        </w:rPr>
      </w:pPr>
      <w:r w:rsidRPr="002E782C">
        <w:rPr>
          <w:rFonts w:eastAsia="Times New Roman" w:cs="Calibri Light"/>
        </w:rPr>
        <w:t xml:space="preserve">Niski poziom wskaźnika wykonania kosztów Funduszu wynika przede wszystkim z: </w:t>
      </w:r>
    </w:p>
    <w:p w:rsidR="000B083B" w:rsidRPr="006F6340" w:rsidRDefault="000B083B" w:rsidP="000B083B">
      <w:pPr>
        <w:numPr>
          <w:ilvl w:val="0"/>
          <w:numId w:val="35"/>
        </w:numPr>
        <w:autoSpaceDE w:val="0"/>
        <w:autoSpaceDN w:val="0"/>
        <w:adjustRightInd w:val="0"/>
        <w:spacing w:after="120"/>
        <w:contextualSpacing/>
        <w:rPr>
          <w:rFonts w:eastAsiaTheme="minorHAnsi" w:cs="Calibri Light"/>
          <w:lang w:eastAsia="en-US"/>
        </w:rPr>
      </w:pPr>
      <w:r w:rsidRPr="006F6340">
        <w:rPr>
          <w:rFonts w:eastAsiaTheme="minorHAnsi" w:cs="Calibri Light"/>
          <w:lang w:eastAsia="en-US"/>
        </w:rPr>
        <w:t xml:space="preserve">niższych niż planowano kosztów usług obcych szczególnie w zakresie usług związanych z oszacowaniem, usług prawnych i usług </w:t>
      </w:r>
      <w:r>
        <w:rPr>
          <w:rFonts w:eastAsiaTheme="minorHAnsi" w:cs="Calibri Light"/>
          <w:lang w:eastAsia="en-US"/>
        </w:rPr>
        <w:t>promocji BFG</w:t>
      </w:r>
      <w:r w:rsidRPr="006F6340">
        <w:rPr>
          <w:rFonts w:eastAsiaTheme="minorHAnsi" w:cs="Calibri Light"/>
          <w:lang w:eastAsia="en-US"/>
        </w:rPr>
        <w:t>;</w:t>
      </w:r>
    </w:p>
    <w:p w:rsidR="000B083B" w:rsidRDefault="000B083B" w:rsidP="000B083B">
      <w:pPr>
        <w:numPr>
          <w:ilvl w:val="0"/>
          <w:numId w:val="35"/>
        </w:numPr>
        <w:autoSpaceDE w:val="0"/>
        <w:autoSpaceDN w:val="0"/>
        <w:adjustRightInd w:val="0"/>
        <w:spacing w:after="120"/>
        <w:contextualSpacing/>
        <w:rPr>
          <w:rFonts w:eastAsia="Palatino Linotype" w:cs="Calibri Light"/>
        </w:rPr>
      </w:pPr>
      <w:r w:rsidRPr="006F6340">
        <w:rPr>
          <w:rFonts w:eastAsiaTheme="minorHAnsi" w:cs="Calibri Light"/>
          <w:lang w:eastAsia="en-US"/>
        </w:rPr>
        <w:t xml:space="preserve">niższych </w:t>
      </w:r>
      <w:r w:rsidRPr="006F6340">
        <w:rPr>
          <w:rFonts w:eastAsia="Palatino Linotype" w:cs="Calibri Light"/>
        </w:rPr>
        <w:t>niż planowano kosztów wynagrodzeń oraz ubezpieczeń i innych świadczeń</w:t>
      </w:r>
      <w:r>
        <w:rPr>
          <w:rFonts w:eastAsia="Palatino Linotype" w:cs="Calibri Light"/>
        </w:rPr>
        <w:t>;</w:t>
      </w:r>
    </w:p>
    <w:p w:rsidR="000B083B" w:rsidRDefault="000B083B" w:rsidP="000B083B">
      <w:pPr>
        <w:numPr>
          <w:ilvl w:val="0"/>
          <w:numId w:val="35"/>
        </w:numPr>
        <w:autoSpaceDE w:val="0"/>
        <w:autoSpaceDN w:val="0"/>
        <w:adjustRightInd w:val="0"/>
        <w:spacing w:after="120"/>
        <w:contextualSpacing/>
        <w:rPr>
          <w:rFonts w:eastAsia="Palatino Linotype" w:cs="Calibri Light"/>
        </w:rPr>
      </w:pPr>
      <w:r>
        <w:rPr>
          <w:rFonts w:eastAsia="Palatino Linotype" w:cs="Calibri Light"/>
        </w:rPr>
        <w:t>niższych niż planowano kosztów amortyzacji;</w:t>
      </w:r>
    </w:p>
    <w:p w:rsidR="000B083B" w:rsidRDefault="000B083B" w:rsidP="000B083B">
      <w:pPr>
        <w:numPr>
          <w:ilvl w:val="0"/>
          <w:numId w:val="35"/>
        </w:numPr>
        <w:autoSpaceDE w:val="0"/>
        <w:autoSpaceDN w:val="0"/>
        <w:adjustRightInd w:val="0"/>
        <w:spacing w:after="120"/>
        <w:contextualSpacing/>
        <w:rPr>
          <w:rFonts w:eastAsia="Palatino Linotype" w:cs="Calibri Light"/>
        </w:rPr>
      </w:pPr>
      <w:r w:rsidRPr="006F6340">
        <w:rPr>
          <w:rFonts w:eastAsiaTheme="minorHAnsi" w:cs="Calibri Light"/>
          <w:lang w:eastAsia="en-US"/>
        </w:rPr>
        <w:t>niższych niż planowano pozostałych kosztów działalności głównie z powodu niższych od planowanych kosztów szkoleń</w:t>
      </w:r>
      <w:r>
        <w:rPr>
          <w:rFonts w:eastAsiaTheme="minorHAnsi" w:cs="Calibri Light"/>
          <w:lang w:eastAsia="en-US"/>
        </w:rPr>
        <w:t xml:space="preserve"> oraz</w:t>
      </w:r>
      <w:r w:rsidRPr="006F6340">
        <w:rPr>
          <w:rFonts w:eastAsiaTheme="minorHAnsi" w:cs="Calibri Light"/>
          <w:lang w:eastAsia="en-US"/>
        </w:rPr>
        <w:t xml:space="preserve"> niższych kosztów składek na rzecz Pracowniczego Programu Emerytalnego</w:t>
      </w:r>
      <w:r>
        <w:rPr>
          <w:rFonts w:eastAsiaTheme="minorHAnsi" w:cs="Calibri Light"/>
          <w:lang w:eastAsia="en-US"/>
        </w:rPr>
        <w:t>;</w:t>
      </w:r>
    </w:p>
    <w:p w:rsidR="000B083B" w:rsidRPr="006F6340" w:rsidRDefault="000B083B" w:rsidP="000B083B">
      <w:pPr>
        <w:numPr>
          <w:ilvl w:val="0"/>
          <w:numId w:val="35"/>
        </w:numPr>
        <w:autoSpaceDE w:val="0"/>
        <w:autoSpaceDN w:val="0"/>
        <w:adjustRightInd w:val="0"/>
        <w:spacing w:after="120"/>
        <w:contextualSpacing/>
        <w:rPr>
          <w:rFonts w:eastAsiaTheme="minorHAnsi" w:cs="Calibri Light"/>
          <w:lang w:eastAsia="en-US"/>
        </w:rPr>
      </w:pPr>
      <w:r w:rsidRPr="006F6340">
        <w:rPr>
          <w:rFonts w:eastAsiaTheme="minorHAnsi" w:cs="Calibri Light"/>
          <w:lang w:eastAsia="en-US"/>
        </w:rPr>
        <w:t>niższych niż planowano kosztów usług w zakresie eksploatacji i administracji budynku;</w:t>
      </w:r>
    </w:p>
    <w:p w:rsidR="000B083B" w:rsidRPr="002E782C" w:rsidRDefault="000B083B" w:rsidP="000B083B">
      <w:pPr>
        <w:numPr>
          <w:ilvl w:val="0"/>
          <w:numId w:val="35"/>
        </w:numPr>
        <w:autoSpaceDE w:val="0"/>
        <w:autoSpaceDN w:val="0"/>
        <w:adjustRightInd w:val="0"/>
        <w:spacing w:after="120"/>
        <w:contextualSpacing/>
        <w:rPr>
          <w:rFonts w:eastAsiaTheme="minorHAnsi" w:cs="Calibri Light"/>
          <w:lang w:eastAsia="en-US"/>
        </w:rPr>
      </w:pPr>
      <w:r w:rsidRPr="006F6340">
        <w:rPr>
          <w:rFonts w:eastAsiaTheme="minorHAnsi" w:cs="Calibri Light"/>
          <w:lang w:eastAsia="en-US"/>
        </w:rPr>
        <w:t>nieuruchamiania rezerwy na nieplanowane koszty</w:t>
      </w:r>
      <w:r w:rsidRPr="002E782C">
        <w:rPr>
          <w:rFonts w:eastAsiaTheme="minorHAnsi" w:cs="Calibri Light"/>
          <w:lang w:eastAsia="en-US"/>
        </w:rPr>
        <w:t>.</w:t>
      </w:r>
    </w:p>
    <w:p w:rsidR="00A34AE0" w:rsidRPr="00FC4D65" w:rsidRDefault="00A34AE0" w:rsidP="00A34AE0">
      <w:pPr>
        <w:pStyle w:val="Nagwek4"/>
        <w:spacing w:before="120" w:after="120"/>
        <w:jc w:val="both"/>
        <w:rPr>
          <w:rFonts w:cs="Calibri Light"/>
        </w:rPr>
      </w:pPr>
      <w:bookmarkStart w:id="82" w:name="_Toc45623985"/>
      <w:bookmarkStart w:id="83" w:name="_Toc403125048"/>
      <w:bookmarkStart w:id="84" w:name="_Toc435620674"/>
      <w:r w:rsidRPr="00FC4D65">
        <w:rPr>
          <w:rFonts w:cs="Calibri Light"/>
        </w:rPr>
        <w:t>Inne źródła finansowania działalności gwarancyjnej</w:t>
      </w:r>
      <w:bookmarkEnd w:id="82"/>
    </w:p>
    <w:bookmarkEnd w:id="83"/>
    <w:bookmarkEnd w:id="84"/>
    <w:p w:rsidR="00A34AE0" w:rsidRPr="000B083B" w:rsidRDefault="00A34AE0" w:rsidP="000B083B">
      <w:pPr>
        <w:spacing w:after="120"/>
      </w:pPr>
      <w:r w:rsidRPr="00D80FAD">
        <w:rPr>
          <w:rFonts w:eastAsia="Times New Roman" w:cs="Calibri Light"/>
          <w:color w:val="000000"/>
        </w:rPr>
        <w:t>Do końca 2024 roku, po wyczerpaniu innych źródeł finansowania, wypłaty środków gwarantowanych deponentom banków dokonywane będą ze środków gromadzonych przez banki</w:t>
      </w:r>
      <w:r>
        <w:rPr>
          <w:rFonts w:eastAsia="Times New Roman" w:cs="Calibri Light"/>
          <w:color w:val="000000"/>
        </w:rPr>
        <w:t xml:space="preserve"> </w:t>
      </w:r>
      <w:r w:rsidRPr="00D80FAD">
        <w:rPr>
          <w:rFonts w:eastAsia="Times New Roman" w:cs="Calibri Light"/>
          <w:color w:val="000000"/>
        </w:rPr>
        <w:t xml:space="preserve">w postaci funduszy ochrony środków gwarantowanych („fośg”; źródło finansowania o charakterze ex </w:t>
      </w:r>
      <w:r w:rsidR="000B083B">
        <w:t xml:space="preserve">post). </w:t>
      </w:r>
      <w:r w:rsidRPr="00A34AE0">
        <w:t>Wartość</w:t>
      </w:r>
      <w:r w:rsidRPr="00D80FAD">
        <w:rPr>
          <w:color w:val="000000"/>
        </w:rPr>
        <w:t xml:space="preserve"> zaktualizowanych na dzień 1 lipca 202</w:t>
      </w:r>
      <w:r>
        <w:rPr>
          <w:color w:val="000000"/>
        </w:rPr>
        <w:t>2</w:t>
      </w:r>
      <w:r w:rsidRPr="00D80FAD">
        <w:rPr>
          <w:color w:val="000000"/>
        </w:rPr>
        <w:t xml:space="preserve"> r. przez banki funduszy ochrony środków gwarantowanych na 202</w:t>
      </w:r>
      <w:r>
        <w:rPr>
          <w:color w:val="000000"/>
        </w:rPr>
        <w:t>2</w:t>
      </w:r>
      <w:r w:rsidRPr="00D80FAD">
        <w:rPr>
          <w:color w:val="000000"/>
        </w:rPr>
        <w:t xml:space="preserve"> r. (w oparciu o podstawę obliczania kwoty rezerwy obowiązkowej za kwiecień 202</w:t>
      </w:r>
      <w:r>
        <w:rPr>
          <w:color w:val="000000"/>
        </w:rPr>
        <w:t>2</w:t>
      </w:r>
      <w:r w:rsidRPr="00D80FAD">
        <w:rPr>
          <w:color w:val="000000"/>
        </w:rPr>
        <w:t xml:space="preserve"> r.) wyniosła </w:t>
      </w:r>
      <w:r>
        <w:t>5 148 242,5 zł</w:t>
      </w:r>
      <w:r w:rsidRPr="00D80FAD">
        <w:rPr>
          <w:color w:val="000000"/>
        </w:rPr>
        <w:t xml:space="preserve"> tys. zł i była wyższa o 2</w:t>
      </w:r>
      <w:r>
        <w:rPr>
          <w:color w:val="000000"/>
        </w:rPr>
        <w:t>18</w:t>
      </w:r>
      <w:r w:rsidRPr="00D80FAD">
        <w:rPr>
          <w:color w:val="000000"/>
        </w:rPr>
        <w:t xml:space="preserve"> </w:t>
      </w:r>
      <w:r>
        <w:rPr>
          <w:color w:val="000000"/>
        </w:rPr>
        <w:t>701</w:t>
      </w:r>
      <w:r w:rsidRPr="00D80FAD">
        <w:rPr>
          <w:color w:val="000000"/>
        </w:rPr>
        <w:t>,</w:t>
      </w:r>
      <w:r>
        <w:rPr>
          <w:color w:val="000000"/>
        </w:rPr>
        <w:t>6</w:t>
      </w:r>
      <w:r w:rsidRPr="00D80FAD">
        <w:rPr>
          <w:color w:val="000000"/>
        </w:rPr>
        <w:t xml:space="preserve"> tys. zł od wartości fośg utworzonych przez banki na rok bieżący w styczniu 202</w:t>
      </w:r>
      <w:r>
        <w:rPr>
          <w:color w:val="000000"/>
        </w:rPr>
        <w:t>2</w:t>
      </w:r>
      <w:r w:rsidRPr="00D80FAD">
        <w:rPr>
          <w:color w:val="000000"/>
        </w:rPr>
        <w:t xml:space="preserve"> r. (wg stanu depozytów za październik 202</w:t>
      </w:r>
      <w:r>
        <w:rPr>
          <w:color w:val="000000"/>
        </w:rPr>
        <w:t>1</w:t>
      </w:r>
      <w:r w:rsidRPr="00D80FAD">
        <w:rPr>
          <w:color w:val="000000"/>
        </w:rPr>
        <w:t xml:space="preserve"> r.).</w:t>
      </w:r>
      <w:r>
        <w:rPr>
          <w:color w:val="000000"/>
        </w:rPr>
        <w:t xml:space="preserve"> </w:t>
      </w:r>
    </w:p>
    <w:p w:rsidR="00281BE0" w:rsidRDefault="00281BE0" w:rsidP="00281BE0">
      <w:pPr>
        <w:keepNext/>
        <w:spacing w:before="120" w:after="120"/>
        <w:outlineLvl w:val="3"/>
        <w:rPr>
          <w:rFonts w:eastAsia="Times New Roman" w:cs="Calibri Light"/>
          <w:bCs/>
          <w:i/>
          <w:szCs w:val="28"/>
          <w:u w:val="single"/>
        </w:rPr>
      </w:pPr>
      <w:r w:rsidRPr="0097025D">
        <w:rPr>
          <w:rFonts w:eastAsia="Times New Roman" w:cs="Calibri Light"/>
          <w:bCs/>
          <w:i/>
          <w:szCs w:val="28"/>
          <w:u w:val="single"/>
        </w:rPr>
        <w:t>Inne działania w zakresie gospodarki finansowej</w:t>
      </w:r>
    </w:p>
    <w:p w:rsidR="00281BE0" w:rsidRDefault="00281BE0" w:rsidP="00281BE0">
      <w:pPr>
        <w:spacing w:after="120"/>
      </w:pPr>
      <w:r>
        <w:t xml:space="preserve">W III kwartale 2022 r. rozpoczęły się prace mające na celu sporządzenie </w:t>
      </w:r>
      <w:r w:rsidRPr="0056411E">
        <w:rPr>
          <w:i/>
        </w:rPr>
        <w:t>Projektu planu finansowego Bankowego Funduszu Gwarancyjnego na rok 2023</w:t>
      </w:r>
      <w:r>
        <w:t xml:space="preserve">, celem przedłożenia Radzie Funduszu do uchwalenia do końca roku obrotowego zgodnie z zasadami określonymi w </w:t>
      </w:r>
      <w:r>
        <w:rPr>
          <w:rFonts w:cs="Calibri Light"/>
        </w:rPr>
        <w:t>§</w:t>
      </w:r>
      <w:r>
        <w:t xml:space="preserve"> 18</w:t>
      </w:r>
      <w:r w:rsidR="005A6833">
        <w:t xml:space="preserve"> </w:t>
      </w:r>
      <w:r>
        <w:t>Rozporządzenia Ministra Finansów i Rozwoju z dnia 25 stycznia 2017 r. w sprawie nadania statutu Bankowemu Funduszowi Gwarancyjnemu</w:t>
      </w:r>
      <w:r w:rsidR="001E117E">
        <w:t xml:space="preserve"> (Dz.U. 2017 poz. 203, z późn. zm.)</w:t>
      </w:r>
      <w:r>
        <w:t>.</w:t>
      </w:r>
      <w:r w:rsidR="005A6833">
        <w:t xml:space="preserve"> </w:t>
      </w:r>
      <w:r>
        <w:t>Prace planistyczne dotyczące roku 2023 odbywają się zg</w:t>
      </w:r>
      <w:r w:rsidR="001E117E">
        <w:t xml:space="preserve">odnie z zapisami </w:t>
      </w:r>
      <w:r w:rsidR="001E117E" w:rsidRPr="001E117E">
        <w:rPr>
          <w:i/>
        </w:rPr>
        <w:t xml:space="preserve">ustawy z dnia </w:t>
      </w:r>
      <w:r w:rsidRPr="001E117E">
        <w:rPr>
          <w:i/>
        </w:rPr>
        <w:t xml:space="preserve">11 sierpnia 2021 r. </w:t>
      </w:r>
      <w:r w:rsidRPr="001E117E">
        <w:rPr>
          <w:i/>
          <w:iCs/>
        </w:rPr>
        <w:t>o zmianie ustawy o finansach publicznych oraz niektórych innych ustaw</w:t>
      </w:r>
      <w:r w:rsidRPr="001E117E">
        <w:rPr>
          <w:i/>
        </w:rPr>
        <w:t>.</w:t>
      </w:r>
    </w:p>
    <w:p w:rsidR="00281BE0" w:rsidRPr="00286F41" w:rsidRDefault="00281BE0" w:rsidP="00281BE0">
      <w:pPr>
        <w:spacing w:after="120"/>
      </w:pPr>
      <w:r>
        <w:t>W związku z</w:t>
      </w:r>
      <w:r w:rsidR="005A6833">
        <w:t xml:space="preserve"> </w:t>
      </w:r>
      <w:r>
        <w:t>pracami nad ustawą budżetową na 2023 r. w III kwartale</w:t>
      </w:r>
      <w:r w:rsidR="009909F5">
        <w:t xml:space="preserve"> br.</w:t>
      </w:r>
      <w:r>
        <w:t xml:space="preserve"> opracowywano informację o</w:t>
      </w:r>
      <w:r>
        <w:rPr>
          <w:rFonts w:ascii="Calibri" w:hAnsi="Calibri"/>
          <w:sz w:val="22"/>
          <w:szCs w:val="22"/>
        </w:rPr>
        <w:t xml:space="preserve"> </w:t>
      </w:r>
      <w:r>
        <w:t>zrealizowanych i</w:t>
      </w:r>
      <w:r w:rsidRPr="007C3D84">
        <w:t xml:space="preserve"> planowanych w 2022 r</w:t>
      </w:r>
      <w:r w:rsidR="009909F5">
        <w:t>.</w:t>
      </w:r>
      <w:r w:rsidRPr="007C3D84">
        <w:t xml:space="preserve"> wydatkach</w:t>
      </w:r>
      <w:r>
        <w:t xml:space="preserve"> objętych stabilizującą regułą wydatkową określoną w art. 112aa </w:t>
      </w:r>
      <w:r w:rsidRPr="009909F5">
        <w:rPr>
          <w:i/>
        </w:rPr>
        <w:t>ustawy o finansach publicznych.</w:t>
      </w:r>
      <w:r>
        <w:t xml:space="preserve"> </w:t>
      </w:r>
    </w:p>
    <w:p w:rsidR="00281BE0" w:rsidRDefault="00281BE0" w:rsidP="009909F5">
      <w:pPr>
        <w:spacing w:after="120"/>
      </w:pPr>
      <w:r>
        <w:t xml:space="preserve"> W ramach zadań w zakresie gospodarki finansowej w III kwartale 2022 r. prowadzono monitoring uiszczania składek w formie pieniężnej przez banki, spółdzielcze kasy oszczędnościowo – kredytowe oraz firmy inwestycyjne. Prowadzono również obsługę i kontrolę składek wnoszonych w formie zobowiązań do zapłaty oraz weryfikowano poprawność ustanawiania zabezpieczeń zobowiązań do zapłaty. Wykonywane były czynności związane z odblokowaniem lub przeniesieniem aktywów stanowiących te zabezpieczenia. Kontynuowane są</w:t>
      </w:r>
      <w:r w:rsidR="005A6833">
        <w:t xml:space="preserve"> </w:t>
      </w:r>
      <w:r>
        <w:t>prace zmierzające do zoptymalizowania procesu obsługi zobowiązań do zapłaty z wykorzystaniem Zintegrowanej Platformy Analitycznej klasy Business Intelligence.</w:t>
      </w:r>
      <w:r w:rsidRPr="002A11AC">
        <w:t xml:space="preserve"> </w:t>
      </w:r>
    </w:p>
    <w:p w:rsidR="00281BE0" w:rsidRDefault="00281BE0" w:rsidP="00281BE0">
      <w:pPr>
        <w:rPr>
          <w:rFonts w:cs="Calibri Light"/>
        </w:rPr>
      </w:pPr>
      <w:r w:rsidRPr="00281BE0">
        <w:rPr>
          <w:rFonts w:cs="Calibri Light"/>
        </w:rPr>
        <w:t>Ponadto, w związku z wejściem w życie w I połowie br. zmian ustawowych, przewidujących m.in. możliwość pozyskania przez Fundusz środków finansowych w ramach emisji obligacji własnych z gwarancjami Skarbu Państwa, Fundusz wystąpił do Krajowego Depozytu Papierów Wartościowych S.A. (KDPW) z wnioskiem o uzyskanie statusu uczestnika KDPW w typie Emitent. 12 września br. Zarząd KDPW podjął uchwałę w tej sprawie, przyznając Funduszowi odnośny status. Decyzja ta stanowi kolejny etap przygotowania do ewentualnej emisji papierów wartościowych przez Fundusz.</w:t>
      </w:r>
      <w:r>
        <w:rPr>
          <w:rFonts w:cs="Calibri Light"/>
        </w:rPr>
        <w:t xml:space="preserve"> </w:t>
      </w:r>
    </w:p>
    <w:p w:rsidR="00A76D38" w:rsidRDefault="00A76D38" w:rsidP="008004CF">
      <w:pPr>
        <w:pStyle w:val="Nagwek2"/>
        <w:numPr>
          <w:ilvl w:val="0"/>
          <w:numId w:val="5"/>
        </w:numPr>
        <w:spacing w:before="240"/>
        <w:ind w:left="714" w:hanging="357"/>
        <w:rPr>
          <w:rFonts w:cs="Calibri Light"/>
        </w:rPr>
      </w:pPr>
      <w:bookmarkStart w:id="85" w:name="_Toc116304532"/>
      <w:r w:rsidRPr="00DF679D">
        <w:rPr>
          <w:rFonts w:cs="Calibri Light"/>
        </w:rPr>
        <w:t>Realizacja zadań kuratora</w:t>
      </w:r>
      <w:bookmarkEnd w:id="85"/>
    </w:p>
    <w:p w:rsidR="001B64DA" w:rsidRDefault="001B64DA" w:rsidP="001B64DA">
      <w:pPr>
        <w:spacing w:after="120"/>
      </w:pPr>
      <w:r>
        <w:t>Decyzją KNF nr DBK-DBK3A.720.4.2021.IM z dnia 27 grudnia 2021 r. Bankowy Fundusz Gwarancyjny został ustanowiony kuratorem Getin Noble Banku S.A. („GNB”).</w:t>
      </w:r>
    </w:p>
    <w:p w:rsidR="001B64DA" w:rsidRDefault="001B64DA" w:rsidP="001B64DA">
      <w:pPr>
        <w:spacing w:after="120"/>
      </w:pPr>
      <w:r>
        <w:t xml:space="preserve">W III kwartale br. sytuacja finansowa Banku była w dalszym ciągu na bieżąco monitorowana, w tym sytuacja płynnościowa – w trybie dziennym. Monitorowane były także działania podejmowane przez organy Banku w związku ze sporządzeniem sprawozdania finansowego GNB za I półrocze 2022 r. </w:t>
      </w:r>
    </w:p>
    <w:p w:rsidR="001B64DA" w:rsidRDefault="001B64DA" w:rsidP="001B64DA">
      <w:pPr>
        <w:spacing w:after="120"/>
      </w:pPr>
      <w:r>
        <w:t xml:space="preserve">28 lipca 2022 r. z inicjatywy Zarządu GNB w siedzibie </w:t>
      </w:r>
      <w:r w:rsidR="00C17D98">
        <w:t>Funduszu odbyło się spotkanie z </w:t>
      </w:r>
      <w:r>
        <w:t xml:space="preserve">kuratorem. Celem spotkania było przedstawienie aktualnej sytuacji ekonomiczno-finansowej Banku, prezentacja możliwego wpływu wydarzeń o charakterze jednorazowym na wyniki II i III kwartału br. jak również omówienie realizowanych i planowanych przedsięwzięć w obszarze biznesowym. </w:t>
      </w:r>
    </w:p>
    <w:p w:rsidR="001B64DA" w:rsidRDefault="001B64DA" w:rsidP="001B64DA">
      <w:pPr>
        <w:spacing w:after="120"/>
      </w:pPr>
      <w:r>
        <w:t>Jako czynniki w największym stopniu wpływające na wyniki i adekwatność kapitałową GNB na koniec I półrocza oraz w III kwartale br. Bank wymienił ryzyko prawne walutowych kredytów hipotecznych, koszty „wakacji kredytowych” oraz planowaną zmianę sposobu ujmowania i wyceny dłużnych papierów wartościowych.</w:t>
      </w:r>
    </w:p>
    <w:p w:rsidR="001B64DA" w:rsidRDefault="001B64DA" w:rsidP="001B64DA">
      <w:pPr>
        <w:spacing w:after="120"/>
      </w:pPr>
      <w:r>
        <w:t>W ramach przeglądu półrocznego w Banku prowadzone były prace nad aktualizacją parametrów wykorzystywanych do wyznaczania poziomu odpisów związanych z ryzykiem prawnym portfela walutowych kredytów hipotecznych. Bank poinfo</w:t>
      </w:r>
      <w:r w:rsidR="00A5373E">
        <w:t>rmował także, że w </w:t>
      </w:r>
      <w:r>
        <w:t>sprawozdaniu za I półrocze br. nie zostanie ujęty koszt „wakacji kredytowych”, zapowiedział natomiast zamieszczenie w sprawozdaniu ujawnienia dotyczącego tej kwestii, w ramach zdarzeń następujących po zakończeniu okresu sprawozdawczego.</w:t>
      </w:r>
    </w:p>
    <w:p w:rsidR="001B64DA" w:rsidRDefault="001B64DA" w:rsidP="001B64DA">
      <w:pPr>
        <w:spacing w:after="120"/>
      </w:pPr>
      <w:r>
        <w:t xml:space="preserve">Informacje o podejmowanych przez Bank działaniach, pracach związanych ze sporządzeniem sprawozdania finansowego za I półrocze br., w tym o </w:t>
      </w:r>
      <w:r w:rsidR="00A5373E">
        <w:t>współpracy Banku z audytorem, w </w:t>
      </w:r>
      <w:r>
        <w:t>szczególności w zakresie parametryzacji wyliczenia rezerw na przyszłe sprawy objęte ryzykiem prawnym, ewentualnych sposobów na ograniczenie tego ryzyka (możliwość objęcia portfela gwarancją finansową), reklasyfikacji dłużnych papierów wartościowych oraz o sytuacji wewnątrz organizacji, były na bieżąco przekazywane Funduszowi za pośrednictwem pełnomocników kuratora.</w:t>
      </w:r>
    </w:p>
    <w:p w:rsidR="001B64DA" w:rsidRDefault="001B64DA" w:rsidP="001B64DA">
      <w:pPr>
        <w:spacing w:after="120"/>
      </w:pPr>
      <w:r>
        <w:t xml:space="preserve">Pełnomocnicy kuratora uczestniczyli w posiedzeniach organów Banku oraz komitetów funkcjonujących w Banku, w tym komitetu audytu, komitetu ryzyka rady nadzorczej, a materiały przekazywane przez Bank, w związku z pełnioną przez Fundusz funkcją kuratora, istotne ze względu na możliwy negatywny wpływ podejmowanych decyzji przez organy Banku, po opinii pełnomocników, poddawane były wewnętrznym analizom. </w:t>
      </w:r>
    </w:p>
    <w:p w:rsidR="001B64DA" w:rsidRDefault="001B64DA" w:rsidP="001B64DA">
      <w:pPr>
        <w:spacing w:after="120"/>
      </w:pPr>
      <w:r>
        <w:t xml:space="preserve">Fundusz z działalności kuratora </w:t>
      </w:r>
      <w:r w:rsidR="00A5373E">
        <w:t xml:space="preserve">GNB </w:t>
      </w:r>
      <w:r>
        <w:t>składał do KNF miesięczne sprawozdania.</w:t>
      </w:r>
    </w:p>
    <w:p w:rsidR="001B64DA" w:rsidRDefault="001B64DA" w:rsidP="0010645D">
      <w:pPr>
        <w:spacing w:after="0"/>
      </w:pPr>
      <w:r>
        <w:t xml:space="preserve">W związku z wszczęciem z dniem 30 września 2022 r. przymusowej restrukturyzacji wobec </w:t>
      </w:r>
      <w:r w:rsidR="00A5373E">
        <w:t>GNB</w:t>
      </w:r>
      <w:r>
        <w:t xml:space="preserve">, zgodnie z art. 113 ust. 1 pkt 6 lit. d ustawy o BFG wygasła decyzja o ustanowieniu kuratora na podstawie art. 144 ust. 1 </w:t>
      </w:r>
      <w:r w:rsidRPr="00A5373E">
        <w:rPr>
          <w:i/>
        </w:rPr>
        <w:t>ustawy - Prawo bankowe</w:t>
      </w:r>
      <w:r>
        <w:t>. Tym samym Fundusz utracił status kuratora Banku, jaki otrzymał na mocy decyzji KNF, oraz wygasły wydane przez Fundusz pełnomocnictwa do dokonywania w imieniu BFG czynności wynikających z ustanowienia Funduszu kuratorem.</w:t>
      </w:r>
    </w:p>
    <w:p w:rsidR="0076523D" w:rsidRDefault="0076523D" w:rsidP="008004CF">
      <w:pPr>
        <w:pStyle w:val="Nagwek2"/>
        <w:numPr>
          <w:ilvl w:val="0"/>
          <w:numId w:val="5"/>
        </w:numPr>
        <w:spacing w:before="240"/>
        <w:ind w:left="714" w:hanging="357"/>
        <w:rPr>
          <w:rFonts w:cs="Calibri Light"/>
        </w:rPr>
      </w:pPr>
      <w:bookmarkStart w:id="86" w:name="_Toc32571613"/>
      <w:bookmarkStart w:id="87" w:name="_Toc34836186"/>
      <w:bookmarkStart w:id="88" w:name="_Toc116304533"/>
      <w:r w:rsidRPr="00DF679D">
        <w:rPr>
          <w:rFonts w:cs="Calibri Light"/>
        </w:rPr>
        <w:t>Zarządzanie ryzykiem operacyjnym i ryzykiem braku zgodności</w:t>
      </w:r>
      <w:bookmarkEnd w:id="86"/>
      <w:bookmarkEnd w:id="87"/>
      <w:bookmarkEnd w:id="88"/>
    </w:p>
    <w:p w:rsidR="00775B04" w:rsidRPr="00AA5258" w:rsidRDefault="00775B04" w:rsidP="0099706D">
      <w:pPr>
        <w:spacing w:after="120"/>
      </w:pPr>
      <w:r w:rsidRPr="00AA5258">
        <w:t>Poziom ryzyka w Funduszu na podstawie kluczowych wskaźników ryzyka (KRI) oceniono jako niski. Informacje o monitorowaniu KRI, a także o zgłoszeniach przesyłanych za pomocą Systemu Zgłoszeń Serwisowych przekazywano członkom Komitetu Ryzyka w cyklu miesięcznym.</w:t>
      </w:r>
    </w:p>
    <w:p w:rsidR="00775B04" w:rsidRPr="00AA5258" w:rsidRDefault="00775B04" w:rsidP="00775B04">
      <w:pPr>
        <w:spacing w:after="120"/>
      </w:pPr>
      <w:r w:rsidRPr="00AA5258">
        <w:t>W I</w:t>
      </w:r>
      <w:r>
        <w:t>I</w:t>
      </w:r>
      <w:r w:rsidRPr="00AA5258">
        <w:t xml:space="preserve">I kwartale 2022 r. zostały </w:t>
      </w:r>
      <w:r w:rsidRPr="004B75DD">
        <w:t>zgłoszone dwa zdarzenia</w:t>
      </w:r>
      <w:r w:rsidRPr="00AA5258">
        <w:t xml:space="preserve"> ryzyka</w:t>
      </w:r>
      <w:r>
        <w:t xml:space="preserve"> oraz</w:t>
      </w:r>
      <w:r w:rsidRPr="00AA5258">
        <w:t xml:space="preserve"> odbyło się jedno posiedzenie Komitetu Ryzyka.</w:t>
      </w:r>
    </w:p>
    <w:p w:rsidR="00775B04" w:rsidRPr="00775B04" w:rsidRDefault="00775B04" w:rsidP="00775B04">
      <w:pPr>
        <w:spacing w:after="120"/>
      </w:pPr>
      <w:r w:rsidRPr="00AA5258">
        <w:t xml:space="preserve">W </w:t>
      </w:r>
      <w:r>
        <w:t>lipcu</w:t>
      </w:r>
      <w:r w:rsidRPr="00AA5258">
        <w:t xml:space="preserve"> br. przeprowadzono szkolenie dla nowo zatrudnionych pracowników Funduszu w zakresie</w:t>
      </w:r>
      <w:r>
        <w:t xml:space="preserve"> </w:t>
      </w:r>
      <w:r w:rsidRPr="00775B04">
        <w:t>systemu kontroli zarządczej oraz zarządzania ryzykiem w BFG.</w:t>
      </w:r>
    </w:p>
    <w:p w:rsidR="00775B04" w:rsidRPr="00AA5258" w:rsidRDefault="00775B04" w:rsidP="00775B04">
      <w:pPr>
        <w:spacing w:after="120"/>
      </w:pPr>
      <w:r w:rsidRPr="00AA5258">
        <w:t>Przekazano komórkom organizacyjnym do weryfikacji uaktualnione dokumenty:</w:t>
      </w:r>
    </w:p>
    <w:p w:rsidR="00775B04" w:rsidRPr="00775B04" w:rsidRDefault="00775B04" w:rsidP="008004CF">
      <w:pPr>
        <w:pStyle w:val="Akapitzlist"/>
        <w:numPr>
          <w:ilvl w:val="0"/>
          <w:numId w:val="16"/>
        </w:numPr>
        <w:spacing w:after="0"/>
        <w:ind w:left="714" w:hanging="357"/>
        <w:rPr>
          <w:i/>
        </w:rPr>
      </w:pPr>
      <w:r w:rsidRPr="00775B04">
        <w:rPr>
          <w:i/>
        </w:rPr>
        <w:t>Wytyczne organów UE dotyczące przymusowej restrukturyzac</w:t>
      </w:r>
      <w:r w:rsidR="0049171D">
        <w:rPr>
          <w:i/>
        </w:rPr>
        <w:t>ji oraz gwarantowania depozytów;</w:t>
      </w:r>
    </w:p>
    <w:p w:rsidR="00775B04" w:rsidRPr="00775B04" w:rsidRDefault="00775B04" w:rsidP="008004CF">
      <w:pPr>
        <w:pStyle w:val="Akapitzlist"/>
        <w:numPr>
          <w:ilvl w:val="0"/>
          <w:numId w:val="16"/>
        </w:numPr>
        <w:spacing w:after="120"/>
        <w:ind w:left="714" w:hanging="357"/>
        <w:contextualSpacing w:val="0"/>
        <w:rPr>
          <w:i/>
        </w:rPr>
      </w:pPr>
      <w:r w:rsidRPr="00775B04">
        <w:rPr>
          <w:i/>
        </w:rPr>
        <w:t>Obowiązki notyfikacyjne Bankowego Funduszu Gwaran</w:t>
      </w:r>
      <w:r>
        <w:rPr>
          <w:i/>
        </w:rPr>
        <w:t>cyjnego wobec EUNB wynikające z </w:t>
      </w:r>
      <w:r w:rsidRPr="00775B04">
        <w:rPr>
          <w:i/>
        </w:rPr>
        <w:t>przepisów ustawy o Bankowym Funduszu Gwarancyjnym, systemie gwarantowania depozytów oraz przymusowej restrukturyzacji.</w:t>
      </w:r>
    </w:p>
    <w:p w:rsidR="00775B04" w:rsidRDefault="00775B04" w:rsidP="0049171D">
      <w:pPr>
        <w:spacing w:after="120"/>
      </w:pPr>
      <w:r w:rsidRPr="00AA5258">
        <w:t xml:space="preserve">Monitorowane są prace w zakresie dostosowywania wewnętrznych aktów prawnych do zmian przepisów powszechnie obowiązujących. </w:t>
      </w:r>
    </w:p>
    <w:p w:rsidR="00775B04" w:rsidRPr="00AA5258" w:rsidRDefault="00775B04" w:rsidP="0049171D">
      <w:pPr>
        <w:spacing w:after="120"/>
      </w:pPr>
      <w:r w:rsidRPr="00AA5258">
        <w:t xml:space="preserve">Kontynuowano działania informacyjne nt. przepisów wprowadzonych i projektowanych </w:t>
      </w:r>
      <w:r w:rsidRPr="00AA5258">
        <w:br/>
        <w:t>w związku z rosyjską agresją na Ukrainę oraz dobrych praktyk w zakresie skutecznego wprowadzania w życie środków ograniczających wydawanych przez Komisję Europejską.</w:t>
      </w:r>
    </w:p>
    <w:p w:rsidR="00775B04" w:rsidRPr="00AA5258" w:rsidRDefault="00775B04" w:rsidP="0049171D">
      <w:pPr>
        <w:spacing w:after="120"/>
      </w:pPr>
      <w:r w:rsidRPr="00AA5258">
        <w:t>Podejmowano działania mające na celu eliminację ryzyka braku zgodności we współpracy z komórkami organizacyjnymi (np.: opinie, konsultacje, informacje nt. potencjalnych zadań lub uprawnień BFG wynikających z przepisów powszechnie</w:t>
      </w:r>
      <w:r w:rsidR="0049171D">
        <w:t xml:space="preserve"> obowiązujących), informowano o </w:t>
      </w:r>
      <w:r w:rsidRPr="00AA5258">
        <w:t xml:space="preserve">przepisach powszechnie obowiązujących i wynikających z nich obowiązków dla BFG. Na bieżąco udzielano opinii nt. praktycznych aspektów stosowania </w:t>
      </w:r>
      <w:r w:rsidRPr="00AA5258">
        <w:rPr>
          <w:i/>
        </w:rPr>
        <w:t>Zasad etyki pracowników Bankowego Funduszu Gwarancyjnego</w:t>
      </w:r>
      <w:r w:rsidRPr="00AA5258">
        <w:t xml:space="preserve">. </w:t>
      </w:r>
    </w:p>
    <w:p w:rsidR="00775B04" w:rsidRPr="000F7EDF" w:rsidRDefault="00775B04" w:rsidP="0099706D">
      <w:pPr>
        <w:spacing w:after="120"/>
      </w:pPr>
      <w:r>
        <w:t>P</w:t>
      </w:r>
      <w:r w:rsidR="0049171D">
        <w:t>rzekazano stanowisko i uwagi m.</w:t>
      </w:r>
      <w:r>
        <w:t xml:space="preserve">in. w zakresie aneksu do Porozumienia zawartego pomiędzy Najwyższą Izbą Kontroli a Funduszem o współpracy i przekazywaniu informacji, do projektu umowy dot. korzystania z usług serwisowych na potrzeby związane z realizacją polityki inwestycyjnej Funduszu, a także podczas udziału w </w:t>
      </w:r>
      <w:r w:rsidRPr="000F7EDF">
        <w:t xml:space="preserve">pracach nad założeniami do projektu stanowiska dla Grupy Roboczej Rady UE w zakresie </w:t>
      </w:r>
      <w:r w:rsidRPr="000F7EDF">
        <w:rPr>
          <w:i/>
        </w:rPr>
        <w:t>Working Party on Financial Services and the Banking Union (Basel III finalisation)</w:t>
      </w:r>
      <w:r w:rsidRPr="000F7EDF">
        <w:t xml:space="preserve"> dotyczące </w:t>
      </w:r>
      <w:r w:rsidRPr="000F7EDF">
        <w:rPr>
          <w:i/>
        </w:rPr>
        <w:t>Valuation of immova</w:t>
      </w:r>
      <w:r>
        <w:rPr>
          <w:i/>
        </w:rPr>
        <w:t>ble property</w:t>
      </w:r>
      <w:r w:rsidRPr="000F7EDF">
        <w:rPr>
          <w:i/>
        </w:rPr>
        <w:t xml:space="preserve"> </w:t>
      </w:r>
      <w:r>
        <w:t>oraz</w:t>
      </w:r>
      <w:r w:rsidRPr="000F7EDF">
        <w:rPr>
          <w:i/>
        </w:rPr>
        <w:t xml:space="preserve"> Supervisory independence (Article 4 CRD)</w:t>
      </w:r>
      <w:r w:rsidR="0049171D">
        <w:rPr>
          <w:i/>
        </w:rPr>
        <w:t xml:space="preserve"> </w:t>
      </w:r>
      <w:r w:rsidRPr="000F7EDF">
        <w:rPr>
          <w:i/>
        </w:rPr>
        <w:t xml:space="preserve">- </w:t>
      </w:r>
      <w:r w:rsidRPr="000F7EDF">
        <w:t>dot. wymaga</w:t>
      </w:r>
      <w:r>
        <w:t>ń</w:t>
      </w:r>
      <w:r w:rsidRPr="000F7EDF">
        <w:t xml:space="preserve"> od </w:t>
      </w:r>
      <w:r>
        <w:t xml:space="preserve">osób wchodzących w skład </w:t>
      </w:r>
      <w:r w:rsidRPr="000F7EDF">
        <w:t xml:space="preserve">organów </w:t>
      </w:r>
      <w:r w:rsidR="0049171D">
        <w:t>i </w:t>
      </w:r>
      <w:r w:rsidRPr="000F7EDF">
        <w:t>pracowników instytucji rynku finansowego.</w:t>
      </w:r>
    </w:p>
    <w:p w:rsidR="00775B04" w:rsidRDefault="00775B04" w:rsidP="0099706D">
      <w:pPr>
        <w:spacing w:after="120"/>
      </w:pPr>
      <w:r w:rsidRPr="00AA5258">
        <w:t xml:space="preserve">W kontekście zadań Funduszu analizowano </w:t>
      </w:r>
      <w:r>
        <w:t xml:space="preserve">m.in. </w:t>
      </w:r>
      <w:r w:rsidRPr="00AA5258">
        <w:t xml:space="preserve">przepisy </w:t>
      </w:r>
      <w:r>
        <w:t>usta</w:t>
      </w:r>
      <w:r w:rsidR="00F67EEF">
        <w:t>wy z dnia 12 kwietnia 2018 r. o </w:t>
      </w:r>
      <w:r>
        <w:t>zasadach pozyskiwania informacji o niekaralności osób ubiegających się o zatrudnienie i osób zatrudnionych w podmiotach sektora finansowego,</w:t>
      </w:r>
      <w:r w:rsidRPr="00230B07">
        <w:t xml:space="preserve"> rozporządzenia Ministra Pracy i Polityki Społecznej z 29 stycznia 2013 r. w sprawie należności przysługujących pracownikowi zatrudnionemu w państwowej lub samorządowej jednostce sfery budżetowej z tytułu podróży służbowej</w:t>
      </w:r>
      <w:r>
        <w:t>, ustawy z dnia 11 września 2019 r. Prawo zamówień publicznych.</w:t>
      </w:r>
    </w:p>
    <w:p w:rsidR="00775B04" w:rsidRDefault="00775B04" w:rsidP="0049171D">
      <w:pPr>
        <w:spacing w:after="120"/>
      </w:pPr>
      <w:r w:rsidRPr="00AA5258">
        <w:t xml:space="preserve">Analizowano także </w:t>
      </w:r>
      <w:r w:rsidRPr="00933015">
        <w:t xml:space="preserve">przepisy w zakresie projektu </w:t>
      </w:r>
      <w:r w:rsidRPr="00CA0323">
        <w:t>ustawy o przygotowaniu i realizacji inwestycji w zakresie Krajowego Centrum Przetwarzania Danych</w:t>
      </w:r>
      <w:r>
        <w:t>, p</w:t>
      </w:r>
      <w:r w:rsidRPr="00230B07">
        <w:t>rojekt</w:t>
      </w:r>
      <w:r>
        <w:t>u</w:t>
      </w:r>
      <w:r w:rsidRPr="00230B07">
        <w:t xml:space="preserve"> ustawy o ochronie osób zgłaszających naruszenia prawa</w:t>
      </w:r>
      <w:r>
        <w:t>, p</w:t>
      </w:r>
      <w:r w:rsidRPr="0008757E">
        <w:t>rojekt</w:t>
      </w:r>
      <w:r>
        <w:t>u</w:t>
      </w:r>
      <w:r w:rsidRPr="0008757E">
        <w:t xml:space="preserve"> ustawy o ochronie ludności oraz o stanie klęski żywiołowej</w:t>
      </w:r>
      <w:r>
        <w:t xml:space="preserve">, projektu </w:t>
      </w:r>
      <w:r w:rsidRPr="00D352BE">
        <w:t xml:space="preserve">ustawy </w:t>
      </w:r>
      <w:r>
        <w:t xml:space="preserve">o zmianie </w:t>
      </w:r>
      <w:r w:rsidRPr="00D352BE">
        <w:t>niektórych ustaw w celu uproszczenia procedur administracyjnych dla obywateli i przedsiębiorców</w:t>
      </w:r>
      <w:r>
        <w:t>.</w:t>
      </w:r>
    </w:p>
    <w:p w:rsidR="00775B04" w:rsidRPr="00AA5258" w:rsidRDefault="00775B04" w:rsidP="00775B04">
      <w:pPr>
        <w:spacing w:after="0"/>
        <w:rPr>
          <w:rFonts w:asciiTheme="minorHAnsi" w:hAnsiTheme="minorHAnsi"/>
          <w:b/>
          <w:bCs/>
          <w:lang w:val="en-AE"/>
        </w:rPr>
      </w:pPr>
      <w:r w:rsidRPr="00AA5258">
        <w:rPr>
          <w:lang w:val="en-AE"/>
        </w:rPr>
        <w:t xml:space="preserve">W ramach Risk Control Working Group (EFDI) </w:t>
      </w:r>
      <w:r>
        <w:rPr>
          <w:lang w:val="en-AE"/>
        </w:rPr>
        <w:t>kontynuowano prace mające na celu opracowanie</w:t>
      </w:r>
      <w:r w:rsidRPr="00AA5258">
        <w:rPr>
          <w:lang w:val="en-AE"/>
        </w:rPr>
        <w:t xml:space="preserve"> projekt</w:t>
      </w:r>
      <w:r>
        <w:rPr>
          <w:lang w:val="en-AE"/>
        </w:rPr>
        <w:t>u</w:t>
      </w:r>
      <w:r w:rsidRPr="00AA5258">
        <w:rPr>
          <w:lang w:val="en-AE"/>
        </w:rPr>
        <w:t xml:space="preserve"> </w:t>
      </w:r>
      <w:r w:rsidRPr="00AA5258">
        <w:rPr>
          <w:i/>
          <w:lang w:val="en-AE"/>
        </w:rPr>
        <w:t>Questionnaire on risk control practices of the EFDI members.</w:t>
      </w:r>
    </w:p>
    <w:p w:rsidR="0076523D" w:rsidRDefault="0076523D" w:rsidP="008004CF">
      <w:pPr>
        <w:pStyle w:val="Nagwek2"/>
        <w:numPr>
          <w:ilvl w:val="0"/>
          <w:numId w:val="5"/>
        </w:numPr>
        <w:spacing w:before="240"/>
        <w:ind w:left="714" w:hanging="357"/>
        <w:rPr>
          <w:rFonts w:cs="Calibri Light"/>
        </w:rPr>
      </w:pPr>
      <w:bookmarkStart w:id="89" w:name="_Toc32571614"/>
      <w:bookmarkStart w:id="90" w:name="_Toc34836187"/>
      <w:bookmarkStart w:id="91" w:name="_Toc116304534"/>
      <w:r w:rsidRPr="00DF679D">
        <w:rPr>
          <w:rFonts w:cs="Calibri Light"/>
        </w:rPr>
        <w:t>Rozwijanie zasobów informacyjnych</w:t>
      </w:r>
      <w:bookmarkEnd w:id="89"/>
      <w:bookmarkEnd w:id="90"/>
      <w:bookmarkEnd w:id="91"/>
    </w:p>
    <w:p w:rsidR="00431F70" w:rsidRPr="008775CD" w:rsidRDefault="00431F70" w:rsidP="00715791">
      <w:pPr>
        <w:spacing w:after="0"/>
      </w:pPr>
      <w:r w:rsidRPr="008775CD">
        <w:t xml:space="preserve">W okresie sprawozdawczym </w:t>
      </w:r>
      <w:r>
        <w:t>Fundusz kontynuował</w:t>
      </w:r>
      <w:r w:rsidRPr="008775CD">
        <w:t xml:space="preserve"> prace na</w:t>
      </w:r>
      <w:r w:rsidR="00715791">
        <w:t>d uzgodnieniem treści Aneksu nr </w:t>
      </w:r>
      <w:r w:rsidRPr="008775CD">
        <w:t xml:space="preserve">2 do </w:t>
      </w:r>
      <w:r w:rsidRPr="00715791">
        <w:rPr>
          <w:i/>
        </w:rPr>
        <w:t>Umowy o współpracy i wymianie informacji pomiędz</w:t>
      </w:r>
      <w:r w:rsidR="00715791">
        <w:rPr>
          <w:i/>
        </w:rPr>
        <w:t>y Komisją Nadzoru Finansowego a </w:t>
      </w:r>
      <w:r w:rsidRPr="00715791">
        <w:rPr>
          <w:i/>
        </w:rPr>
        <w:t>Bankowym Funduszem Gwarancyjnym z dnia 27 grudnia 2016 r</w:t>
      </w:r>
      <w:r w:rsidRPr="008775CD">
        <w:t>. (dalej: Umowa BFG-KNF). Prace były poprzedzone przesłaniem do KNF propozycji zmian zakresu przekazywanych informacji określonych w załącznikach 1-7 do Umowy BFG-KNF.</w:t>
      </w:r>
      <w:r>
        <w:t xml:space="preserve"> Kontynuowane były również prace związane z zapewnieniem kompletności raportowania </w:t>
      </w:r>
      <w:r w:rsidRPr="002F07E7">
        <w:t>dotyczącego sprawozdawczości firm inwestycyjnych</w:t>
      </w:r>
      <w:r>
        <w:t>.</w:t>
      </w:r>
    </w:p>
    <w:p w:rsidR="0076523D" w:rsidRDefault="0076523D" w:rsidP="008004CF">
      <w:pPr>
        <w:pStyle w:val="Nagwek2"/>
        <w:numPr>
          <w:ilvl w:val="0"/>
          <w:numId w:val="5"/>
        </w:numPr>
        <w:spacing w:before="240"/>
        <w:ind w:left="714" w:hanging="357"/>
        <w:rPr>
          <w:rFonts w:cs="Calibri Light"/>
        </w:rPr>
      </w:pPr>
      <w:bookmarkStart w:id="92" w:name="_Toc32571615"/>
      <w:bookmarkStart w:id="93" w:name="_Toc34836188"/>
      <w:bookmarkStart w:id="94" w:name="_Toc116304535"/>
      <w:r w:rsidRPr="00DF679D">
        <w:rPr>
          <w:rFonts w:cs="Calibri Light"/>
        </w:rPr>
        <w:t>Informatyka</w:t>
      </w:r>
      <w:bookmarkEnd w:id="92"/>
      <w:bookmarkEnd w:id="93"/>
      <w:bookmarkEnd w:id="94"/>
    </w:p>
    <w:p w:rsidR="00715791" w:rsidRDefault="00715791" w:rsidP="00715791">
      <w:pPr>
        <w:pStyle w:val="NormalnyWeb"/>
        <w:shd w:val="clear" w:color="auto" w:fill="FFFFFF"/>
        <w:spacing w:before="200" w:beforeAutospacing="0" w:after="120" w:afterAutospacing="0"/>
      </w:pPr>
      <w:r>
        <w:t xml:space="preserve">W III kwartale 2022 r. kontynuowano prace nad Systemem Realizacji Gwarancji (SRG), których celem jest stworzenie nowej wersji tego rozwiązania informatycznego. Wykonawca, z którym Fundusz zawarł umowę na zaprojektowanie, wdrożenie i utrzymanie SRG, w ramach fazy analityczno-wytwórczej I etapu kontynuował – przy współudziale pracowników Funduszu – prace polegające na doprecyzowaniu wymagań funkcjonalnych dla nowego systemu oraz prace związane z wytwarzaniem i dostarczaniem oprogramowania w modelu przyrostowym. Na dedykowanej infrastrukturze zainstalowanej w BFG, w środowisku testowym, udostępniano kolejne funkcjonalności systemu, a pracownicy Funduszu prowadzili testy funkcjonalne dostarczanego oprogramowania. </w:t>
      </w:r>
    </w:p>
    <w:p w:rsidR="00715791" w:rsidRPr="00DD43A6" w:rsidRDefault="00715791" w:rsidP="00715791">
      <w:pPr>
        <w:pStyle w:val="NormalnyWeb"/>
        <w:shd w:val="clear" w:color="auto" w:fill="FFFFFF"/>
        <w:spacing w:before="120" w:beforeAutospacing="0" w:after="120" w:afterAutospacing="0"/>
        <w:rPr>
          <w:rFonts w:eastAsia="Palatino Linotype" w:cs="Calibri Light"/>
        </w:rPr>
      </w:pPr>
      <w:r>
        <w:rPr>
          <w:rFonts w:eastAsia="Palatino Linotype" w:cs="Calibri Light"/>
        </w:rPr>
        <w:t xml:space="preserve">Kontynuowano również prace, których celem jest zaprojektowanie i wdrożenie w BFG </w:t>
      </w:r>
      <w:r w:rsidRPr="0005668E">
        <w:rPr>
          <w:rFonts w:eastAsia="Palatino Linotype" w:cs="Calibri Light"/>
        </w:rPr>
        <w:t>Zintegrowanej Platformy Analitycznej klasy Business Intelligence</w:t>
      </w:r>
      <w:r>
        <w:rPr>
          <w:rFonts w:eastAsia="Palatino Linotype" w:cs="Calibri Light"/>
        </w:rPr>
        <w:t xml:space="preserve">. Wykonawca, z którym </w:t>
      </w:r>
      <w:r>
        <w:t xml:space="preserve">Fundusz zawarł umowę na </w:t>
      </w:r>
      <w:r>
        <w:rPr>
          <w:rFonts w:eastAsia="Palatino Linotype" w:cs="Calibri Light"/>
        </w:rPr>
        <w:t>z</w:t>
      </w:r>
      <w:r w:rsidRPr="0005668E">
        <w:rPr>
          <w:rFonts w:eastAsia="Palatino Linotype" w:cs="Calibri Light"/>
        </w:rPr>
        <w:t>aprojektowanie, wdrożenie, utrzymanie</w:t>
      </w:r>
      <w:r>
        <w:rPr>
          <w:rFonts w:eastAsia="Palatino Linotype" w:cs="Calibri Light"/>
        </w:rPr>
        <w:t xml:space="preserve"> i</w:t>
      </w:r>
      <w:r w:rsidRPr="0005668E">
        <w:rPr>
          <w:rFonts w:eastAsia="Palatino Linotype" w:cs="Calibri Light"/>
        </w:rPr>
        <w:t xml:space="preserve"> rozwój Zintegrowanej Platformy Analitycz</w:t>
      </w:r>
      <w:r>
        <w:rPr>
          <w:rFonts w:eastAsia="Palatino Linotype" w:cs="Calibri Light"/>
        </w:rPr>
        <w:t xml:space="preserve">nej, w ramach trwającej fazy analityczno-wytwórczej, realizował prace mające na celu zbudowanie podstawowego modelu danych sprawozdawczych dla danych źródłowych otrzymywanych za pośrednictwem Portalu BFG STP od podmiotów objętych obowiązkiem sprawozdawczym. W okresie sprawozdawczym wykonawca zaimplementował i przekazał do testów 10 raportów predefiniowanych oraz podstawowy model danych. Ponadto wykonawca zaprojektował również procesy transformacji danych ETL, niezbędne do przeprowadzenia procesu migracji danych historycznych – otrzymywanych i gromadzonych przez Fundusz na podstawie rozporządzeń. </w:t>
      </w:r>
    </w:p>
    <w:p w:rsidR="00715791" w:rsidRDefault="00715791" w:rsidP="00715791">
      <w:pPr>
        <w:spacing w:after="120"/>
      </w:pPr>
      <w:r w:rsidRPr="00EB7BFD">
        <w:rPr>
          <w:rFonts w:cs="Calibri Light"/>
        </w:rPr>
        <w:t>W okresie sprawozdawczym k</w:t>
      </w:r>
      <w:r w:rsidRPr="00EB7BFD">
        <w:rPr>
          <w:szCs w:val="23"/>
        </w:rPr>
        <w:t xml:space="preserve">ontynuowano prace implementacyjne związane z rozbudową </w:t>
      </w:r>
      <w:r>
        <w:t>Systemu Rozliczenia Strat (SRS), w celu umożliwienia obsługi umowy gwarancji pokrycia strat, zawartej przez Fundusz z podmiotem przejmującym, po wszczęciu przymusowej restrukturyzacji Idea Banku S.A. Realizowano również prace związane z raportowaniem do EBA danych sprawozdawczych za kolejny kwartał, otrzymywanych przez Fundusz na podstawie rozporządzenia UE 2021/763 (MREL/TLAC) oraz danych otrzymywanych przez Fundusz na podstawie</w:t>
      </w:r>
      <w:r w:rsidR="005A6833">
        <w:t xml:space="preserve"> </w:t>
      </w:r>
      <w:r>
        <w:t xml:space="preserve">rozporządzenia MF wynikającego z art. 87 ustawy o BFG. </w:t>
      </w:r>
    </w:p>
    <w:p w:rsidR="00715791" w:rsidRPr="00B92D56" w:rsidRDefault="00715791" w:rsidP="006701A8">
      <w:pPr>
        <w:spacing w:after="120"/>
      </w:pPr>
      <w:r w:rsidRPr="00B92D56">
        <w:t xml:space="preserve">W III kwartale 2022 r. zakończono przetarg krajowy na </w:t>
      </w:r>
      <w:r w:rsidRPr="00715791">
        <w:rPr>
          <w:i/>
        </w:rPr>
        <w:t>Świadczenie usług telefonii komórkowej i usług bezprzewodowej transmisji danych wraz z dostawą telefonów komórkowych</w:t>
      </w:r>
      <w:r w:rsidRPr="00B92D56">
        <w:t xml:space="preserve"> i zawarto umowę na 24 miesiące z terminem rozpoczęcia usług od 1 października 2022r. Zakończono także zadanie rozbudowy infrastruktury teleinformatycznej </w:t>
      </w:r>
      <w:r w:rsidRPr="00B92D56">
        <w:rPr>
          <w:bCs/>
          <w:iCs/>
          <w:color w:val="000000" w:themeColor="text1"/>
        </w:rPr>
        <w:t>obejmujące zakup podsystemu pamięci masowej, tzw. deduplikatora do przechowywania kopii zapasowych</w:t>
      </w:r>
      <w:r>
        <w:rPr>
          <w:bCs/>
          <w:iCs/>
          <w:color w:val="000000" w:themeColor="text1"/>
        </w:rPr>
        <w:t xml:space="preserve"> danych</w:t>
      </w:r>
      <w:r w:rsidR="005A6833">
        <w:rPr>
          <w:bCs/>
          <w:iCs/>
          <w:color w:val="000000" w:themeColor="text1"/>
        </w:rPr>
        <w:t xml:space="preserve"> </w:t>
      </w:r>
      <w:r w:rsidRPr="00B92D56">
        <w:rPr>
          <w:bCs/>
          <w:iCs/>
          <w:color w:val="000000" w:themeColor="text1"/>
        </w:rPr>
        <w:t>oraz wymianę przełączników stanowiących szkielet sieci i zapór sieciowy</w:t>
      </w:r>
      <w:r w:rsidR="006701A8">
        <w:rPr>
          <w:bCs/>
          <w:iCs/>
          <w:color w:val="000000" w:themeColor="text1"/>
        </w:rPr>
        <w:t>ch pracujących na jej granicy z </w:t>
      </w:r>
      <w:r w:rsidRPr="00B92D56">
        <w:rPr>
          <w:bCs/>
          <w:iCs/>
          <w:color w:val="000000" w:themeColor="text1"/>
        </w:rPr>
        <w:t>Internetem. W celu realizacji tego zadania przeprowadzono</w:t>
      </w:r>
      <w:r>
        <w:rPr>
          <w:bCs/>
          <w:iCs/>
          <w:color w:val="000000" w:themeColor="text1"/>
        </w:rPr>
        <w:t xml:space="preserve"> wcześniej</w:t>
      </w:r>
      <w:r w:rsidR="006701A8">
        <w:rPr>
          <w:bCs/>
          <w:iCs/>
          <w:color w:val="000000" w:themeColor="text1"/>
        </w:rPr>
        <w:t xml:space="preserve"> postępowanie o </w:t>
      </w:r>
      <w:r w:rsidRPr="00B92D56">
        <w:rPr>
          <w:bCs/>
          <w:iCs/>
          <w:color w:val="000000" w:themeColor="text1"/>
        </w:rPr>
        <w:t xml:space="preserve">udzielenie zamówienia publicznego pod nazwą </w:t>
      </w:r>
      <w:r w:rsidRPr="006701A8">
        <w:rPr>
          <w:bCs/>
          <w:i/>
          <w:iCs/>
          <w:color w:val="000000" w:themeColor="text1"/>
        </w:rPr>
        <w:t>Rozbudowa infrastruktury sieciowej – 3 części</w:t>
      </w:r>
      <w:r w:rsidRPr="00B92D56">
        <w:rPr>
          <w:bCs/>
          <w:iCs/>
          <w:color w:val="000000" w:themeColor="text1"/>
        </w:rPr>
        <w:t>.</w:t>
      </w:r>
    </w:p>
    <w:p w:rsidR="00715791" w:rsidRDefault="00715791" w:rsidP="006701A8">
      <w:pPr>
        <w:spacing w:after="0"/>
      </w:pPr>
      <w:r w:rsidRPr="00CD69E3">
        <w:t>Prace związane z utrzymaniem systemu informatycznego w okresie sprawozdawczym polegały na administrowaniu systemem informatycznym Funduszu, w tym infrastrukturą informatyczną, systemami teletransmisji oraz wewnętrzną siecią komputerową, zarządzaniu usługami firm zewnętrznych świadczo</w:t>
      </w:r>
      <w:r>
        <w:t xml:space="preserve">nymi w zakresie eksploatacji i </w:t>
      </w:r>
      <w:r w:rsidRPr="00CD69E3">
        <w:t>konserwacji sprzętu oraz oprogramowania.</w:t>
      </w:r>
      <w:r>
        <w:t xml:space="preserve"> </w:t>
      </w:r>
    </w:p>
    <w:p w:rsidR="0076523D" w:rsidRDefault="0076523D" w:rsidP="008004CF">
      <w:pPr>
        <w:pStyle w:val="Nagwek2"/>
        <w:numPr>
          <w:ilvl w:val="0"/>
          <w:numId w:val="5"/>
        </w:numPr>
        <w:spacing w:before="240"/>
        <w:ind w:left="714" w:hanging="357"/>
        <w:rPr>
          <w:rFonts w:cs="Calibri Light"/>
        </w:rPr>
      </w:pPr>
      <w:bookmarkStart w:id="95" w:name="_Toc32571616"/>
      <w:bookmarkStart w:id="96" w:name="_Toc34836189"/>
      <w:bookmarkStart w:id="97" w:name="_Toc116304536"/>
      <w:r w:rsidRPr="00DF679D">
        <w:rPr>
          <w:rFonts w:cs="Calibri Light"/>
        </w:rPr>
        <w:t>Bezpieczeństwo, ochrona danych i Plan Ciągłości Działania</w:t>
      </w:r>
      <w:bookmarkEnd w:id="95"/>
      <w:bookmarkEnd w:id="96"/>
      <w:bookmarkEnd w:id="97"/>
    </w:p>
    <w:p w:rsidR="006701A8" w:rsidRDefault="006701A8" w:rsidP="006701A8">
      <w:pPr>
        <w:spacing w:after="120"/>
        <w:ind w:left="357" w:firstLine="0"/>
      </w:pPr>
      <w:r w:rsidRPr="00E66F8F">
        <w:t>W zakresie ochrony danych osobowych i bezpieczeństwa informacji</w:t>
      </w:r>
      <w:r w:rsidR="00C331EA">
        <w:t xml:space="preserve"> prowadzono</w:t>
      </w:r>
      <w:r w:rsidRPr="00E66F8F">
        <w:t>:</w:t>
      </w:r>
    </w:p>
    <w:p w:rsidR="006701A8" w:rsidRPr="00C331EA" w:rsidRDefault="006701A8" w:rsidP="008004CF">
      <w:pPr>
        <w:numPr>
          <w:ilvl w:val="0"/>
          <w:numId w:val="17"/>
        </w:numPr>
        <w:spacing w:before="120" w:after="120"/>
        <w:ind w:left="714" w:hanging="357"/>
        <w:contextualSpacing/>
        <w:rPr>
          <w:rFonts w:eastAsia="Palatino Linotype" w:cs="Calibri Light"/>
        </w:rPr>
      </w:pPr>
      <w:r w:rsidRPr="00C331EA">
        <w:rPr>
          <w:rFonts w:eastAsia="Palatino Linotype" w:cs="Calibri Light"/>
        </w:rPr>
        <w:t>wzmożony monitoring bezpieczeństwa</w:t>
      </w:r>
      <w:r w:rsidR="00C331EA">
        <w:rPr>
          <w:rFonts w:eastAsia="Palatino Linotype" w:cs="Calibri Light"/>
        </w:rPr>
        <w:t xml:space="preserve"> teleinformatycznego związany z </w:t>
      </w:r>
      <w:r w:rsidRPr="00C331EA">
        <w:rPr>
          <w:rFonts w:eastAsia="Palatino Linotype" w:cs="Calibri Light"/>
        </w:rPr>
        <w:t>utrzymaniem na terenie całego kraju stopnia alarmowego CHARLIE-CRP</w:t>
      </w:r>
      <w:r w:rsidR="00C331EA">
        <w:rPr>
          <w:rFonts w:eastAsia="Palatino Linotype" w:cs="Calibri Light"/>
        </w:rPr>
        <w:t>,</w:t>
      </w:r>
    </w:p>
    <w:p w:rsidR="006701A8" w:rsidRPr="00C331EA" w:rsidRDefault="006701A8" w:rsidP="008004CF">
      <w:pPr>
        <w:numPr>
          <w:ilvl w:val="0"/>
          <w:numId w:val="17"/>
        </w:numPr>
        <w:spacing w:before="120" w:after="120"/>
        <w:ind w:left="714" w:hanging="357"/>
        <w:contextualSpacing/>
        <w:rPr>
          <w:rFonts w:eastAsia="Palatino Linotype" w:cs="Calibri Light"/>
        </w:rPr>
      </w:pPr>
      <w:r w:rsidRPr="00C331EA">
        <w:rPr>
          <w:rFonts w:eastAsia="Palatino Linotype" w:cs="Calibri Light"/>
        </w:rPr>
        <w:t>szkolenia każdego nowego pracownika w pierwszym dniu jego pracy w zakresie bezpieczeństwa informacji, ochrony danych osobowych oraz ochrony osób i mienia</w:t>
      </w:r>
      <w:r w:rsidR="00C331EA">
        <w:rPr>
          <w:rFonts w:eastAsia="Palatino Linotype" w:cs="Calibri Light"/>
        </w:rPr>
        <w:t>,</w:t>
      </w:r>
    </w:p>
    <w:p w:rsidR="006701A8" w:rsidRPr="00C331EA" w:rsidRDefault="006701A8" w:rsidP="008004CF">
      <w:pPr>
        <w:numPr>
          <w:ilvl w:val="0"/>
          <w:numId w:val="17"/>
        </w:numPr>
        <w:spacing w:before="120" w:after="120"/>
        <w:ind w:left="714" w:hanging="357"/>
        <w:contextualSpacing/>
        <w:rPr>
          <w:rFonts w:eastAsia="Palatino Linotype" w:cs="Calibri Light"/>
        </w:rPr>
      </w:pPr>
      <w:r w:rsidRPr="00C331EA">
        <w:rPr>
          <w:rFonts w:eastAsia="Palatino Linotype" w:cs="Calibri Light"/>
        </w:rPr>
        <w:t>przegląd podatności na zagrożenia oprogramowania wykorzystywanego w systemie informatycznym BFG oraz zgłaszano konieczność przeprowadzenia aktualizacji oprogramowania/systemów</w:t>
      </w:r>
      <w:r w:rsidR="00C331EA">
        <w:rPr>
          <w:rFonts w:eastAsia="Palatino Linotype" w:cs="Calibri Light"/>
        </w:rPr>
        <w:t>,</w:t>
      </w:r>
    </w:p>
    <w:p w:rsidR="006701A8" w:rsidRPr="00C331EA" w:rsidRDefault="006701A8" w:rsidP="008004CF">
      <w:pPr>
        <w:numPr>
          <w:ilvl w:val="0"/>
          <w:numId w:val="17"/>
        </w:numPr>
        <w:spacing w:before="120" w:after="120"/>
        <w:ind w:left="714" w:hanging="357"/>
        <w:contextualSpacing/>
        <w:rPr>
          <w:rFonts w:eastAsia="Palatino Linotype" w:cs="Calibri Light"/>
        </w:rPr>
      </w:pPr>
      <w:r w:rsidRPr="00C331EA">
        <w:rPr>
          <w:rFonts w:eastAsia="Palatino Linotype" w:cs="Calibri Light"/>
        </w:rPr>
        <w:t>analizę informacji o zagrożeniach (</w:t>
      </w:r>
      <w:r w:rsidR="00802C52" w:rsidRPr="00802C52">
        <w:rPr>
          <w:rFonts w:eastAsia="Palatino Linotype" w:cs="Calibri Light"/>
          <w:lang w:eastAsia="en-US"/>
        </w:rPr>
        <w:t>ang.</w:t>
      </w:r>
      <w:r w:rsidR="00802C52" w:rsidRPr="00332400">
        <w:rPr>
          <w:rFonts w:eastAsia="Palatino Linotype" w:cs="Calibri Light"/>
          <w:i/>
          <w:lang w:eastAsia="en-US"/>
        </w:rPr>
        <w:t xml:space="preserve"> </w:t>
      </w:r>
      <w:r w:rsidRPr="00C331EA">
        <w:rPr>
          <w:rFonts w:eastAsia="Palatino Linotype" w:cs="Calibri Light"/>
          <w:i/>
        </w:rPr>
        <w:t>Threat Intelligence</w:t>
      </w:r>
      <w:r w:rsidRPr="00C331EA">
        <w:rPr>
          <w:rFonts w:eastAsia="Palatino Linotype" w:cs="Calibri Light"/>
        </w:rPr>
        <w:t>), ko</w:t>
      </w:r>
      <w:r w:rsidR="00C331EA">
        <w:rPr>
          <w:rFonts w:eastAsia="Palatino Linotype" w:cs="Calibri Light"/>
        </w:rPr>
        <w:t>rzystając z dostępnych źródeł w </w:t>
      </w:r>
      <w:r w:rsidRPr="00C331EA">
        <w:rPr>
          <w:rFonts w:eastAsia="Palatino Linotype" w:cs="Calibri Light"/>
        </w:rPr>
        <w:t>sieci Internet takich jak blogi bezpieczeństwa, dedykowane platformy, strony producentów rozwiązań bezpieczeństwa, itp.</w:t>
      </w:r>
      <w:r w:rsidR="00C331EA">
        <w:rPr>
          <w:rFonts w:eastAsia="Palatino Linotype" w:cs="Calibri Light"/>
        </w:rPr>
        <w:t>,</w:t>
      </w:r>
    </w:p>
    <w:p w:rsidR="006701A8" w:rsidRPr="00C331EA" w:rsidRDefault="006701A8" w:rsidP="008004CF">
      <w:pPr>
        <w:numPr>
          <w:ilvl w:val="0"/>
          <w:numId w:val="17"/>
        </w:numPr>
        <w:spacing w:before="120" w:after="120"/>
        <w:ind w:left="714" w:hanging="357"/>
        <w:contextualSpacing/>
        <w:rPr>
          <w:rFonts w:eastAsia="Palatino Linotype" w:cs="Calibri Light"/>
        </w:rPr>
      </w:pPr>
      <w:r w:rsidRPr="00C331EA">
        <w:rPr>
          <w:rFonts w:eastAsia="Palatino Linotype" w:cs="Calibri Light"/>
        </w:rPr>
        <w:t>monitoring przetwarzanych informacji w systemach informatycznych BFG pod kątem ewentualnych wycieków informacji</w:t>
      </w:r>
      <w:r w:rsidR="00C331EA">
        <w:rPr>
          <w:rFonts w:eastAsia="Palatino Linotype" w:cs="Calibri Light"/>
        </w:rPr>
        <w:t>,</w:t>
      </w:r>
    </w:p>
    <w:p w:rsidR="006701A8" w:rsidRPr="00C331EA" w:rsidRDefault="006701A8" w:rsidP="008004CF">
      <w:pPr>
        <w:numPr>
          <w:ilvl w:val="0"/>
          <w:numId w:val="17"/>
        </w:numPr>
        <w:spacing w:before="120" w:after="120"/>
        <w:ind w:left="714" w:hanging="357"/>
        <w:contextualSpacing/>
        <w:rPr>
          <w:rFonts w:eastAsia="Palatino Linotype" w:cs="Calibri Light"/>
        </w:rPr>
      </w:pPr>
      <w:r w:rsidRPr="00C331EA">
        <w:rPr>
          <w:rFonts w:eastAsia="Palatino Linotype" w:cs="Calibri Light"/>
        </w:rPr>
        <w:t>analizę zdarzeń odnotowanych przez sieciowe systemy bezpieczeństwa pod kątem naruszeń bezpieczeństwa</w:t>
      </w:r>
      <w:r w:rsidR="00C331EA">
        <w:rPr>
          <w:rFonts w:eastAsia="Palatino Linotype" w:cs="Calibri Light"/>
        </w:rPr>
        <w:t>,</w:t>
      </w:r>
    </w:p>
    <w:p w:rsidR="006701A8" w:rsidRDefault="006701A8" w:rsidP="008004CF">
      <w:pPr>
        <w:numPr>
          <w:ilvl w:val="0"/>
          <w:numId w:val="17"/>
        </w:numPr>
        <w:spacing w:before="120" w:after="120"/>
        <w:ind w:left="714" w:hanging="357"/>
        <w:rPr>
          <w:rFonts w:eastAsia="Palatino Linotype" w:cs="Calibri Light"/>
        </w:rPr>
      </w:pPr>
      <w:r w:rsidRPr="00C331EA">
        <w:rPr>
          <w:rFonts w:eastAsia="Palatino Linotype" w:cs="Calibri Light"/>
        </w:rPr>
        <w:t>analizę przesłanych wiadomości mailowych pod kątem autentyczności i złośliwej zawartości</w:t>
      </w:r>
      <w:r w:rsidR="00C331EA">
        <w:rPr>
          <w:rFonts w:eastAsia="Palatino Linotype" w:cs="Calibri Light"/>
        </w:rPr>
        <w:t>.</w:t>
      </w:r>
    </w:p>
    <w:p w:rsidR="006701A8" w:rsidRPr="00C331EA" w:rsidRDefault="00C331EA" w:rsidP="00C331EA">
      <w:pPr>
        <w:spacing w:before="120" w:after="120"/>
        <w:rPr>
          <w:rFonts w:eastAsia="Palatino Linotype" w:cs="Calibri Light"/>
        </w:rPr>
      </w:pPr>
      <w:r>
        <w:rPr>
          <w:rFonts w:eastAsia="Palatino Linotype" w:cs="Calibri Light"/>
        </w:rPr>
        <w:t>Ponadto p</w:t>
      </w:r>
      <w:r w:rsidR="006701A8" w:rsidRPr="00C331EA">
        <w:rPr>
          <w:rFonts w:eastAsia="Palatino Linotype" w:cs="Calibri Light"/>
        </w:rPr>
        <w:t xml:space="preserve">rzeprowadzono cykliczne badania kontrinwigilacyjne pomieszczeń i służbowych pojazdów pod </w:t>
      </w:r>
      <w:r>
        <w:rPr>
          <w:rFonts w:eastAsia="Palatino Linotype" w:cs="Calibri Light"/>
        </w:rPr>
        <w:t>kątem obecności obcych urządzeń. Jak również z</w:t>
      </w:r>
      <w:r w:rsidR="006701A8" w:rsidRPr="00C331EA">
        <w:rPr>
          <w:rFonts w:eastAsia="Palatino Linotype" w:cs="Calibri Light"/>
        </w:rPr>
        <w:t>moderniz</w:t>
      </w:r>
      <w:r>
        <w:rPr>
          <w:rFonts w:eastAsia="Palatino Linotype" w:cs="Calibri Light"/>
        </w:rPr>
        <w:t>owano</w:t>
      </w:r>
      <w:r w:rsidR="006701A8" w:rsidRPr="00C331EA">
        <w:rPr>
          <w:rFonts w:eastAsia="Palatino Linotype" w:cs="Calibri Light"/>
        </w:rPr>
        <w:t xml:space="preserve"> zabezpiecze</w:t>
      </w:r>
      <w:r>
        <w:rPr>
          <w:rFonts w:eastAsia="Palatino Linotype" w:cs="Calibri Light"/>
        </w:rPr>
        <w:t>nia</w:t>
      </w:r>
      <w:r w:rsidR="006701A8" w:rsidRPr="00C331EA">
        <w:rPr>
          <w:rFonts w:eastAsia="Palatino Linotype" w:cs="Calibri Light"/>
        </w:rPr>
        <w:t xml:space="preserve"> kancelarii niejawnej w zakresie systemu sygnalizacji włamania</w:t>
      </w:r>
      <w:r w:rsidR="006701A8">
        <w:t xml:space="preserve"> i napadu oraz systemu kontroli dostępu zgodnie z zaleceniami Pełnomocnika ochrony. </w:t>
      </w:r>
    </w:p>
    <w:p w:rsidR="006701A8" w:rsidRDefault="006701A8" w:rsidP="00C331EA">
      <w:pPr>
        <w:spacing w:before="120" w:after="120"/>
        <w:ind w:left="357" w:firstLine="0"/>
      </w:pPr>
      <w:r w:rsidRPr="002848F9">
        <w:t>W obszarze bezpieczeństwa osób i mienia:</w:t>
      </w:r>
    </w:p>
    <w:p w:rsidR="006701A8" w:rsidRPr="00C331EA" w:rsidRDefault="00C331EA" w:rsidP="008004CF">
      <w:pPr>
        <w:numPr>
          <w:ilvl w:val="0"/>
          <w:numId w:val="17"/>
        </w:numPr>
        <w:spacing w:before="120" w:after="120"/>
        <w:ind w:left="714" w:hanging="357"/>
        <w:contextualSpacing/>
        <w:rPr>
          <w:rFonts w:eastAsia="Palatino Linotype" w:cs="Calibri Light"/>
        </w:rPr>
      </w:pPr>
      <w:r>
        <w:rPr>
          <w:rFonts w:eastAsia="Palatino Linotype" w:cs="Calibri Light"/>
        </w:rPr>
        <w:t>p</w:t>
      </w:r>
      <w:r w:rsidR="006701A8" w:rsidRPr="00C331EA">
        <w:rPr>
          <w:rFonts w:eastAsia="Palatino Linotype" w:cs="Calibri Light"/>
        </w:rPr>
        <w:t>rowadzono przeglądy, konserwacje oraz doraźne naprawy zabezpieczeń technicznych oraz urządzeń przeciwpożarowych, zainstalowanych w budynku BFG;</w:t>
      </w:r>
    </w:p>
    <w:p w:rsidR="006701A8" w:rsidRPr="00C331EA" w:rsidRDefault="00C331EA" w:rsidP="008004CF">
      <w:pPr>
        <w:numPr>
          <w:ilvl w:val="0"/>
          <w:numId w:val="17"/>
        </w:numPr>
        <w:spacing w:before="120" w:after="120"/>
        <w:ind w:left="714" w:hanging="357"/>
        <w:contextualSpacing/>
        <w:rPr>
          <w:rFonts w:eastAsia="Palatino Linotype" w:cs="Calibri Light"/>
        </w:rPr>
      </w:pPr>
      <w:r>
        <w:rPr>
          <w:rFonts w:eastAsia="Palatino Linotype" w:cs="Calibri Light"/>
        </w:rPr>
        <w:t>d</w:t>
      </w:r>
      <w:r w:rsidR="006701A8" w:rsidRPr="00C331EA">
        <w:rPr>
          <w:rFonts w:eastAsia="Palatino Linotype" w:cs="Calibri Light"/>
        </w:rPr>
        <w:t>okonano demontażu i utylizacji izotopowych czujek przeciwpożarowych</w:t>
      </w:r>
      <w:r>
        <w:rPr>
          <w:rFonts w:eastAsia="Palatino Linotype" w:cs="Calibri Light"/>
        </w:rPr>
        <w:t>,</w:t>
      </w:r>
      <w:r w:rsidR="006701A8" w:rsidRPr="00C331EA">
        <w:rPr>
          <w:rFonts w:eastAsia="Palatino Linotype" w:cs="Calibri Light"/>
        </w:rPr>
        <w:t xml:space="preserve"> a w ich miejsce zainstalowano czujki </w:t>
      </w:r>
      <w:r w:rsidRPr="00C331EA">
        <w:rPr>
          <w:rFonts w:eastAsia="Palatino Linotype" w:cs="Calibri Light"/>
        </w:rPr>
        <w:t>nie izotopowe</w:t>
      </w:r>
      <w:r w:rsidR="006701A8" w:rsidRPr="00C331EA">
        <w:rPr>
          <w:rFonts w:eastAsia="Palatino Linotype" w:cs="Calibri Light"/>
        </w:rPr>
        <w:t>;</w:t>
      </w:r>
    </w:p>
    <w:p w:rsidR="006701A8" w:rsidRPr="00C331EA" w:rsidRDefault="00C331EA" w:rsidP="008004CF">
      <w:pPr>
        <w:numPr>
          <w:ilvl w:val="0"/>
          <w:numId w:val="17"/>
        </w:numPr>
        <w:spacing w:before="120" w:after="120"/>
        <w:ind w:left="714" w:hanging="357"/>
        <w:contextualSpacing/>
        <w:rPr>
          <w:rFonts w:eastAsia="Palatino Linotype" w:cs="Calibri Light"/>
        </w:rPr>
      </w:pPr>
      <w:r>
        <w:rPr>
          <w:rFonts w:eastAsia="Palatino Linotype" w:cs="Calibri Light"/>
        </w:rPr>
        <w:t>p</w:t>
      </w:r>
      <w:r w:rsidR="006701A8" w:rsidRPr="00C331EA">
        <w:rPr>
          <w:rFonts w:eastAsia="Palatino Linotype" w:cs="Calibri Light"/>
        </w:rPr>
        <w:t xml:space="preserve">rowadzono kontrole biura ochrony Aromig w zakresie poprawności realizacji obchodów pomieszczeń przez pracowników pełniących służbę w budynku BFG, przechowywania kart kontroli dostępu oraz spełnienia wymogu umownego o zatrudnieniu tych pracowników na podstawie umowy o pracę; </w:t>
      </w:r>
    </w:p>
    <w:p w:rsidR="006701A8" w:rsidRPr="006701A8" w:rsidRDefault="00C331EA" w:rsidP="008004CF">
      <w:pPr>
        <w:numPr>
          <w:ilvl w:val="0"/>
          <w:numId w:val="17"/>
        </w:numPr>
        <w:spacing w:before="120" w:after="120"/>
        <w:ind w:left="714" w:hanging="357"/>
        <w:contextualSpacing/>
      </w:pPr>
      <w:r>
        <w:rPr>
          <w:rFonts w:eastAsia="Palatino Linotype" w:cs="Calibri Light"/>
        </w:rPr>
        <w:t>p</w:t>
      </w:r>
      <w:r w:rsidR="006701A8" w:rsidRPr="00C331EA">
        <w:rPr>
          <w:rFonts w:eastAsia="Palatino Linotype" w:cs="Calibri Light"/>
        </w:rPr>
        <w:t>rowadzono</w:t>
      </w:r>
      <w:r w:rsidR="006701A8">
        <w:t xml:space="preserve"> wzmożony monitoring bezpieczeństwa fizycznego siedziby Funduszu związany z utrzymaniem na terenie całego kraju stopnia alarmowego BRAVO.</w:t>
      </w:r>
    </w:p>
    <w:p w:rsidR="0076523D" w:rsidRPr="00DF679D" w:rsidRDefault="0076523D" w:rsidP="008004CF">
      <w:pPr>
        <w:pStyle w:val="Nagwek2"/>
        <w:numPr>
          <w:ilvl w:val="0"/>
          <w:numId w:val="5"/>
        </w:numPr>
        <w:spacing w:before="240"/>
        <w:ind w:left="714" w:hanging="357"/>
        <w:rPr>
          <w:rFonts w:cs="Calibri Light"/>
        </w:rPr>
      </w:pPr>
      <w:bookmarkStart w:id="98" w:name="_Toc32571617"/>
      <w:bookmarkStart w:id="99" w:name="_Toc34836190"/>
      <w:bookmarkStart w:id="100" w:name="_Toc116304537"/>
      <w:r w:rsidRPr="00DF679D">
        <w:rPr>
          <w:rFonts w:cs="Calibri Light"/>
        </w:rPr>
        <w:t>Współpraca krajowa i międzynarodowa</w:t>
      </w:r>
      <w:bookmarkEnd w:id="98"/>
      <w:bookmarkEnd w:id="99"/>
      <w:bookmarkEnd w:id="100"/>
    </w:p>
    <w:p w:rsidR="0076523D" w:rsidRDefault="0076523D" w:rsidP="008004CF">
      <w:pPr>
        <w:pStyle w:val="Nagwek3"/>
        <w:numPr>
          <w:ilvl w:val="1"/>
          <w:numId w:val="5"/>
        </w:numPr>
        <w:ind w:left="799" w:hanging="442"/>
        <w:rPr>
          <w:rFonts w:cs="Calibri Light"/>
          <w:sz w:val="24"/>
        </w:rPr>
      </w:pPr>
      <w:bookmarkStart w:id="101" w:name="_Toc356871"/>
      <w:bookmarkStart w:id="102" w:name="_Toc530763"/>
      <w:bookmarkStart w:id="103" w:name="_Toc18502876"/>
      <w:bookmarkStart w:id="104" w:name="_Toc116304538"/>
      <w:r w:rsidRPr="00DF679D">
        <w:rPr>
          <w:rFonts w:cs="Calibri Light"/>
          <w:sz w:val="24"/>
        </w:rPr>
        <w:t>Współpraca krajowa</w:t>
      </w:r>
      <w:bookmarkEnd w:id="101"/>
      <w:bookmarkEnd w:id="102"/>
      <w:bookmarkEnd w:id="103"/>
      <w:bookmarkEnd w:id="104"/>
    </w:p>
    <w:p w:rsidR="00E1243B" w:rsidRPr="00E1243B" w:rsidRDefault="00E1243B" w:rsidP="00F96B77">
      <w:pPr>
        <w:spacing w:before="120" w:after="120"/>
        <w:rPr>
          <w:rFonts w:eastAsia="Palatino Linotype" w:cs="Calibri Light"/>
        </w:rPr>
      </w:pPr>
      <w:r>
        <w:t xml:space="preserve">Prezes </w:t>
      </w:r>
      <w:r w:rsidRPr="00E1243B">
        <w:rPr>
          <w:rFonts w:eastAsia="Palatino Linotype" w:cs="Calibri Light"/>
        </w:rPr>
        <w:t>Zarządu wraz z pracownikami BFG brali udział w posiedzeniach Komitetu Stabilności Finansowej w formule zarządzania kryzysowego (KSF-K) oraz w formule makroostrożnościowej (KSF-M), a także w posiedzeniach Komisji Nadzoru Finansowego.</w:t>
      </w:r>
    </w:p>
    <w:p w:rsidR="00E1243B" w:rsidRPr="00E1243B" w:rsidRDefault="00E1243B" w:rsidP="00E1243B">
      <w:pPr>
        <w:spacing w:before="120" w:after="120"/>
        <w:rPr>
          <w:rFonts w:eastAsia="Palatino Linotype" w:cs="Calibri Light"/>
        </w:rPr>
      </w:pPr>
      <w:r w:rsidRPr="00E1243B">
        <w:rPr>
          <w:rFonts w:eastAsia="Palatino Linotype" w:cs="Calibri Light"/>
        </w:rPr>
        <w:t xml:space="preserve">Prezes Zarządu, Członkowie Zarządu BFG wraz z </w:t>
      </w:r>
      <w:r>
        <w:rPr>
          <w:rFonts w:eastAsia="Palatino Linotype" w:cs="Calibri Light"/>
        </w:rPr>
        <w:t xml:space="preserve">pracownikami BFG uczestniczyli </w:t>
      </w:r>
      <w:r w:rsidRPr="00E1243B">
        <w:rPr>
          <w:rFonts w:eastAsia="Palatino Linotype" w:cs="Calibri Light"/>
        </w:rPr>
        <w:t>w licznych spotkaniach z</w:t>
      </w:r>
      <w:r>
        <w:rPr>
          <w:rFonts w:eastAsia="Palatino Linotype" w:cs="Calibri Light"/>
        </w:rPr>
        <w:t xml:space="preserve"> przedstawicielami</w:t>
      </w:r>
      <w:r w:rsidRPr="00E1243B">
        <w:rPr>
          <w:rFonts w:eastAsia="Palatino Linotype" w:cs="Calibri Light"/>
        </w:rPr>
        <w:t xml:space="preserve"> bank</w:t>
      </w:r>
      <w:r>
        <w:rPr>
          <w:rFonts w:eastAsia="Palatino Linotype" w:cs="Calibri Light"/>
        </w:rPr>
        <w:t>ów</w:t>
      </w:r>
      <w:r w:rsidRPr="00E1243B">
        <w:rPr>
          <w:rFonts w:eastAsia="Palatino Linotype" w:cs="Calibri Light"/>
        </w:rPr>
        <w:t xml:space="preserve"> oraz Komisj</w:t>
      </w:r>
      <w:r>
        <w:rPr>
          <w:rFonts w:eastAsia="Palatino Linotype" w:cs="Calibri Light"/>
        </w:rPr>
        <w:t>i</w:t>
      </w:r>
      <w:r w:rsidRPr="00E1243B">
        <w:rPr>
          <w:rFonts w:eastAsia="Palatino Linotype" w:cs="Calibri Light"/>
        </w:rPr>
        <w:t xml:space="preserve"> Nadzoru Finansowego.</w:t>
      </w:r>
    </w:p>
    <w:p w:rsidR="00957672" w:rsidRPr="00E1243B" w:rsidRDefault="00F96B77" w:rsidP="00E1243B">
      <w:pPr>
        <w:spacing w:before="120" w:after="120"/>
        <w:rPr>
          <w:rFonts w:eastAsia="Palatino Linotype" w:cs="Calibri Light"/>
        </w:rPr>
      </w:pPr>
      <w:r>
        <w:rPr>
          <w:rFonts w:eastAsia="Palatino Linotype" w:cs="Calibri Light"/>
        </w:rPr>
        <w:t>Ponadto p</w:t>
      </w:r>
      <w:r w:rsidR="00E1243B" w:rsidRPr="00E1243B">
        <w:rPr>
          <w:rFonts w:eastAsia="Palatino Linotype" w:cs="Calibri Light"/>
        </w:rPr>
        <w:t>rzedstawiciele BFG wzięli udział w pracach Sejmowej Ko</w:t>
      </w:r>
      <w:r w:rsidR="00E1243B">
        <w:rPr>
          <w:rFonts w:eastAsia="Palatino Linotype" w:cs="Calibri Light"/>
        </w:rPr>
        <w:t xml:space="preserve">misji Finansów Publicznych oraz </w:t>
      </w:r>
      <w:r w:rsidR="00E1243B" w:rsidRPr="00E1243B">
        <w:rPr>
          <w:rFonts w:eastAsia="Palatino Linotype" w:cs="Calibri Light"/>
        </w:rPr>
        <w:t xml:space="preserve">Senackiej Komisji Gospodarki nt. rządowego projektu </w:t>
      </w:r>
      <w:r w:rsidR="00E1243B" w:rsidRPr="00E1243B">
        <w:rPr>
          <w:rFonts w:eastAsia="Palatino Linotype" w:cs="Calibri Light"/>
          <w:i/>
        </w:rPr>
        <w:t>ustawy o dodatku węglowym</w:t>
      </w:r>
      <w:r>
        <w:rPr>
          <w:rFonts w:eastAsia="Palatino Linotype" w:cs="Calibri Light"/>
        </w:rPr>
        <w:t xml:space="preserve"> (druki nr </w:t>
      </w:r>
      <w:r w:rsidR="00E1243B" w:rsidRPr="00E1243B">
        <w:rPr>
          <w:rFonts w:eastAsia="Palatino Linotype" w:cs="Calibri Light"/>
        </w:rPr>
        <w:t>2471 i 24</w:t>
      </w:r>
      <w:r w:rsidR="00E1243B">
        <w:t>85).</w:t>
      </w:r>
    </w:p>
    <w:p w:rsidR="0076523D" w:rsidRDefault="00241B49" w:rsidP="00AF25E5">
      <w:pPr>
        <w:pStyle w:val="Nagwek3"/>
        <w:ind w:firstLine="357"/>
        <w:rPr>
          <w:rFonts w:cs="Calibri Light"/>
          <w:sz w:val="24"/>
        </w:rPr>
      </w:pPr>
      <w:bookmarkStart w:id="105" w:name="_Toc116304539"/>
      <w:r w:rsidRPr="00DF679D">
        <w:rPr>
          <w:rFonts w:cs="Calibri Light"/>
          <w:sz w:val="24"/>
        </w:rPr>
        <w:t>8</w:t>
      </w:r>
      <w:r w:rsidR="0076523D" w:rsidRPr="00DF679D">
        <w:rPr>
          <w:rFonts w:cs="Calibri Light"/>
          <w:sz w:val="24"/>
        </w:rPr>
        <w:t>.2. Współpraca międzynarodowa</w:t>
      </w:r>
      <w:bookmarkEnd w:id="105"/>
    </w:p>
    <w:p w:rsidR="00AF25E5" w:rsidRPr="004135A6" w:rsidRDefault="00AF25E5" w:rsidP="004135A6">
      <w:pPr>
        <w:keepNext/>
        <w:spacing w:before="120" w:after="120"/>
        <w:outlineLvl w:val="3"/>
        <w:rPr>
          <w:rFonts w:eastAsia="Times New Roman" w:cs="Calibri Light"/>
          <w:bCs/>
          <w:i/>
          <w:szCs w:val="28"/>
          <w:u w:val="single"/>
        </w:rPr>
      </w:pPr>
      <w:r w:rsidRPr="004135A6">
        <w:rPr>
          <w:rFonts w:eastAsia="Times New Roman" w:cs="Calibri Light"/>
          <w:bCs/>
          <w:i/>
          <w:szCs w:val="28"/>
          <w:u w:val="single"/>
        </w:rPr>
        <w:t>IADI</w:t>
      </w:r>
    </w:p>
    <w:p w:rsidR="00AF25E5" w:rsidRDefault="00AF25E5" w:rsidP="004135A6">
      <w:pPr>
        <w:spacing w:after="120"/>
        <w:rPr>
          <w:rFonts w:cs="Calibri Light"/>
        </w:rPr>
      </w:pPr>
      <w:r w:rsidRPr="00F03A0E">
        <w:rPr>
          <w:rFonts w:cs="Calibri Light"/>
        </w:rPr>
        <w:t xml:space="preserve">18 sierpnia </w:t>
      </w:r>
      <w:r>
        <w:rPr>
          <w:rFonts w:cs="Calibri Light"/>
        </w:rPr>
        <w:t>2022</w:t>
      </w:r>
      <w:r w:rsidR="004135A6">
        <w:rPr>
          <w:rFonts w:cs="Calibri Light"/>
        </w:rPr>
        <w:t xml:space="preserve"> </w:t>
      </w:r>
      <w:r>
        <w:rPr>
          <w:rFonts w:cs="Calibri Light"/>
        </w:rPr>
        <w:t>r. odbyło się spotkanie EXCO ad hoc, w którym uczestniczył Prezes Zarządu BFG. Przedmiotem spotkania była potrzeba ponownego przeprowadzenia wyborów nowego Sekretarza Generalnego, bowiem dotychczas wybrany kandydat wycofał swoją aplikację. Jednocześnie ustalono, że dotychczasowy Sekretarz Generalny będzie pełnił funkcję do czasu wybrania nowego Sekretarza tj. początku roku 2023.</w:t>
      </w:r>
      <w:r w:rsidRPr="00FA1A8F">
        <w:t xml:space="preserve"> </w:t>
      </w:r>
    </w:p>
    <w:p w:rsidR="00AF25E5" w:rsidRPr="00F03A0E" w:rsidRDefault="00AF25E5" w:rsidP="004135A6">
      <w:pPr>
        <w:spacing w:after="120"/>
        <w:rPr>
          <w:rFonts w:cs="Calibri Light"/>
        </w:rPr>
      </w:pPr>
      <w:r w:rsidRPr="0047344D">
        <w:rPr>
          <w:rFonts w:cs="Calibri Light"/>
        </w:rPr>
        <w:t>26 sierpnia br. miało miejsce spotkanie komitetu stałego CBTC (</w:t>
      </w:r>
      <w:r w:rsidRPr="004135A6">
        <w:rPr>
          <w:rFonts w:cs="Calibri Light"/>
          <w:i/>
        </w:rPr>
        <w:t>Capacity Building Technical Committee</w:t>
      </w:r>
      <w:r w:rsidRPr="0047344D">
        <w:rPr>
          <w:rFonts w:cs="Calibri Light"/>
        </w:rPr>
        <w:t>), na którym zweryfikowany został plan pracy na lata 2022/23.</w:t>
      </w:r>
      <w:r>
        <w:rPr>
          <w:rFonts w:cs="Calibri Light"/>
        </w:rPr>
        <w:t xml:space="preserve"> </w:t>
      </w:r>
      <w:r w:rsidRPr="0047344D">
        <w:rPr>
          <w:rFonts w:cs="Calibri Light"/>
        </w:rPr>
        <w:t>Ponadto pod rozwagę wzięto kwestię zorganizowani</w:t>
      </w:r>
      <w:r>
        <w:rPr>
          <w:rFonts w:cs="Calibri Light"/>
        </w:rPr>
        <w:t>a posiedzenia dla członków EXCO;</w:t>
      </w:r>
      <w:r w:rsidRPr="0047344D">
        <w:rPr>
          <w:rFonts w:cs="Calibri Light"/>
        </w:rPr>
        <w:t xml:space="preserve"> </w:t>
      </w:r>
      <w:r>
        <w:rPr>
          <w:rFonts w:cs="Calibri Light"/>
        </w:rPr>
        <w:t xml:space="preserve">spotkanie </w:t>
      </w:r>
      <w:r w:rsidRPr="0047344D">
        <w:rPr>
          <w:rFonts w:cs="Calibri Light"/>
        </w:rPr>
        <w:t>zo</w:t>
      </w:r>
      <w:r w:rsidR="004135A6">
        <w:rPr>
          <w:rFonts w:cs="Calibri Light"/>
        </w:rPr>
        <w:t>stałoby nagrane w </w:t>
      </w:r>
      <w:r>
        <w:rPr>
          <w:rFonts w:cs="Calibri Light"/>
        </w:rPr>
        <w:t>celu przedstawiania zagadnień</w:t>
      </w:r>
      <w:r w:rsidRPr="0047344D">
        <w:rPr>
          <w:rFonts w:cs="Calibri Light"/>
        </w:rPr>
        <w:t>, które powinni</w:t>
      </w:r>
      <w:r>
        <w:rPr>
          <w:rFonts w:cs="Calibri Light"/>
        </w:rPr>
        <w:t xml:space="preserve"> </w:t>
      </w:r>
      <w:r w:rsidRPr="0047344D">
        <w:rPr>
          <w:rFonts w:cs="Calibri Light"/>
        </w:rPr>
        <w:t>znać nowo wybran</w:t>
      </w:r>
      <w:r>
        <w:rPr>
          <w:rFonts w:cs="Calibri Light"/>
        </w:rPr>
        <w:t xml:space="preserve">i </w:t>
      </w:r>
      <w:r w:rsidRPr="0047344D">
        <w:rPr>
          <w:rFonts w:cs="Calibri Light"/>
        </w:rPr>
        <w:t>członk</w:t>
      </w:r>
      <w:r>
        <w:rPr>
          <w:rFonts w:cs="Calibri Light"/>
        </w:rPr>
        <w:t>owie</w:t>
      </w:r>
      <w:r w:rsidRPr="0047344D">
        <w:rPr>
          <w:rFonts w:cs="Calibri Light"/>
        </w:rPr>
        <w:t xml:space="preserve"> EXCO.</w:t>
      </w:r>
    </w:p>
    <w:p w:rsidR="00AF25E5" w:rsidRDefault="00AF25E5" w:rsidP="004135A6">
      <w:pPr>
        <w:spacing w:after="120"/>
      </w:pPr>
      <w:r>
        <w:rPr>
          <w:rFonts w:cs="Calibri Light"/>
        </w:rPr>
        <w:t xml:space="preserve">W dniach 6-7 września br. w Bazylei odbyło się uroczyste spotkanie z okazji dwudziestej rocznicy powstania IADI wraz z towarzyszącą mu konferencją. Fundusz reprezentowany był przez Prezesa Zarządu BFG oraz Dyrektora Biura Zarządu. Konferencja </w:t>
      </w:r>
      <w:r w:rsidR="00A761A1">
        <w:rPr>
          <w:rFonts w:cs="Calibri Light"/>
        </w:rPr>
        <w:t>składała się z sześciu sesji, w </w:t>
      </w:r>
      <w:r>
        <w:rPr>
          <w:rFonts w:cs="Calibri Light"/>
        </w:rPr>
        <w:t>których speakerami byli Prezesi i Sekretarze Generalni IADI, a także inni znamienici goście. Temat</w:t>
      </w:r>
      <w:r w:rsidR="00A761A1">
        <w:rPr>
          <w:rFonts w:cs="Calibri Light"/>
        </w:rPr>
        <w:t>a</w:t>
      </w:r>
      <w:r>
        <w:rPr>
          <w:rFonts w:cs="Calibri Light"/>
        </w:rPr>
        <w:t>m</w:t>
      </w:r>
      <w:r w:rsidR="00A761A1">
        <w:rPr>
          <w:rFonts w:cs="Calibri Light"/>
        </w:rPr>
        <w:t>i</w:t>
      </w:r>
      <w:r>
        <w:rPr>
          <w:rFonts w:cs="Calibri Light"/>
        </w:rPr>
        <w:t xml:space="preserve"> paneli były m.in.: </w:t>
      </w:r>
      <w:r w:rsidRPr="008C008F">
        <w:t>kwestia przyszłości stabilności finansowej</w:t>
      </w:r>
      <w:r>
        <w:t xml:space="preserve"> i gwarantowania depozytów, a także samego IADI, w</w:t>
      </w:r>
      <w:r w:rsidRPr="008C008F">
        <w:t>ymiana doświadczeń w</w:t>
      </w:r>
      <w:r>
        <w:t xml:space="preserve"> ramach dyskusji panelowej w</w:t>
      </w:r>
      <w:r w:rsidRPr="008C008F">
        <w:t xml:space="preserve"> zakresie gwarantowania depozytów</w:t>
      </w:r>
      <w:r>
        <w:t xml:space="preserve"> i prognozy </w:t>
      </w:r>
      <w:r w:rsidRPr="008C008F">
        <w:t>czego można się spodziewać</w:t>
      </w:r>
      <w:r>
        <w:t xml:space="preserve"> w najbliższym czasie w tym zakresie.</w:t>
      </w:r>
    </w:p>
    <w:p w:rsidR="00AF25E5" w:rsidRDefault="00AF25E5" w:rsidP="00A761A1">
      <w:pPr>
        <w:spacing w:after="120"/>
      </w:pPr>
      <w:r>
        <w:t xml:space="preserve">W okresie sprawozdawczym odbyło się wirtualne spotkanie </w:t>
      </w:r>
      <w:r w:rsidR="008D47E9">
        <w:t xml:space="preserve">europejskiego </w:t>
      </w:r>
      <w:r>
        <w:t>komitetu regionalnego (</w:t>
      </w:r>
      <w:r w:rsidRPr="00A761A1">
        <w:rPr>
          <w:i/>
        </w:rPr>
        <w:t>Europe Regional Committee</w:t>
      </w:r>
      <w:r w:rsidR="008D47E9">
        <w:t xml:space="preserve">, ERC), </w:t>
      </w:r>
      <w:r>
        <w:t>na którym omówiono bieżące sprawy komitetu, a także jego reprezentacji w EXCO. Przewodniczący ERC zach</w:t>
      </w:r>
      <w:r w:rsidR="00A761A1">
        <w:t>ęcał członków do kandydowania w </w:t>
      </w:r>
      <w:r>
        <w:t>nadchodzących wyborach</w:t>
      </w:r>
      <w:r w:rsidR="008D47E9">
        <w:t>,</w:t>
      </w:r>
      <w:r>
        <w:t xml:space="preserve"> tak by reprezentacja interesów europejskich w EXCO była jak największa.</w:t>
      </w:r>
    </w:p>
    <w:p w:rsidR="00802C52" w:rsidRPr="00D946A0" w:rsidRDefault="00802C52" w:rsidP="00802C52">
      <w:pPr>
        <w:spacing w:after="0"/>
        <w:rPr>
          <w:rFonts w:eastAsia="Palatino Linotype" w:cs="Calibri Light"/>
          <w:lang w:eastAsia="en-US"/>
        </w:rPr>
      </w:pPr>
      <w:r>
        <w:rPr>
          <w:rFonts w:cs="Calibri Light"/>
        </w:rPr>
        <w:t xml:space="preserve">Ponadto przedstawiciele Funduszu wzięli udział w spotkaniu (w formie telekonferencji) </w:t>
      </w:r>
      <w:r w:rsidRPr="007D6C35">
        <w:rPr>
          <w:rFonts w:cs="Calibri Light"/>
        </w:rPr>
        <w:t>organizowan</w:t>
      </w:r>
      <w:r>
        <w:rPr>
          <w:rFonts w:cs="Calibri Light"/>
        </w:rPr>
        <w:t>ym</w:t>
      </w:r>
      <w:r>
        <w:rPr>
          <w:rFonts w:eastAsia="Palatino Linotype" w:cs="Calibri Light"/>
          <w:lang w:eastAsia="en-US"/>
        </w:rPr>
        <w:t xml:space="preserve"> przez IADI we współpracy z EFDI pt. </w:t>
      </w:r>
      <w:r w:rsidRPr="00D946A0">
        <w:rPr>
          <w:rFonts w:eastAsia="Palatino Linotype" w:cs="Calibri Light"/>
          <w:i/>
          <w:lang w:eastAsia="en-US"/>
        </w:rPr>
        <w:t>Green DGS and non-financial reporting: new challenges for DGSs?</w:t>
      </w:r>
      <w:r w:rsidRPr="00D946A0">
        <w:rPr>
          <w:rFonts w:eastAsia="Palatino Linotype" w:cs="Calibri Light"/>
          <w:lang w:eastAsia="en-US"/>
        </w:rPr>
        <w:t xml:space="preserve"> poświęcon</w:t>
      </w:r>
      <w:r>
        <w:rPr>
          <w:rFonts w:eastAsia="Palatino Linotype" w:cs="Calibri Light"/>
          <w:lang w:eastAsia="en-US"/>
        </w:rPr>
        <w:t>ym</w:t>
      </w:r>
      <w:r w:rsidRPr="00D946A0">
        <w:rPr>
          <w:rFonts w:eastAsia="Palatino Linotype" w:cs="Calibri Light"/>
          <w:lang w:eastAsia="en-US"/>
        </w:rPr>
        <w:t xml:space="preserve"> zagadnieniu</w:t>
      </w:r>
      <w:r>
        <w:rPr>
          <w:rFonts w:eastAsia="Palatino Linotype" w:cs="Calibri Light"/>
          <w:lang w:eastAsia="en-US"/>
        </w:rPr>
        <w:t>,</w:t>
      </w:r>
      <w:r w:rsidRPr="00D946A0">
        <w:rPr>
          <w:rFonts w:eastAsia="Palatino Linotype" w:cs="Calibri Light"/>
          <w:lang w:eastAsia="en-US"/>
        </w:rPr>
        <w:t xml:space="preserve"> w jaki sposób systemy gwarantowania mogą się przyczynić do </w:t>
      </w:r>
      <w:r>
        <w:rPr>
          <w:rFonts w:eastAsia="Palatino Linotype" w:cs="Calibri Light"/>
          <w:lang w:eastAsia="en-US"/>
        </w:rPr>
        <w:t>rozwoju zrównoważonej gospodarki (</w:t>
      </w:r>
      <w:r w:rsidRPr="00802C52">
        <w:rPr>
          <w:rFonts w:eastAsia="Palatino Linotype" w:cs="Calibri Light"/>
          <w:lang w:eastAsia="en-US"/>
        </w:rPr>
        <w:t>ang</w:t>
      </w:r>
      <w:r w:rsidRPr="00332400">
        <w:rPr>
          <w:rFonts w:eastAsia="Palatino Linotype" w:cs="Calibri Light"/>
          <w:i/>
          <w:lang w:eastAsia="en-US"/>
        </w:rPr>
        <w:t>. sustainable economy</w:t>
      </w:r>
      <w:r>
        <w:rPr>
          <w:rFonts w:eastAsia="Palatino Linotype" w:cs="Calibri Light"/>
          <w:lang w:eastAsia="en-US"/>
        </w:rPr>
        <w:t>).</w:t>
      </w:r>
    </w:p>
    <w:p w:rsidR="00AF25E5" w:rsidRPr="008D47E9" w:rsidRDefault="00AF25E5" w:rsidP="008D47E9">
      <w:pPr>
        <w:keepNext/>
        <w:spacing w:before="120" w:after="120"/>
        <w:outlineLvl w:val="3"/>
        <w:rPr>
          <w:rFonts w:eastAsia="Times New Roman" w:cs="Calibri Light"/>
          <w:bCs/>
          <w:i/>
          <w:szCs w:val="28"/>
          <w:u w:val="single"/>
        </w:rPr>
      </w:pPr>
      <w:r w:rsidRPr="008D47E9">
        <w:rPr>
          <w:rFonts w:eastAsia="Times New Roman" w:cs="Calibri Light"/>
          <w:bCs/>
          <w:i/>
          <w:szCs w:val="28"/>
          <w:u w:val="single"/>
        </w:rPr>
        <w:t>EFDI</w:t>
      </w:r>
    </w:p>
    <w:p w:rsidR="00AF25E5" w:rsidRDefault="00AF25E5" w:rsidP="008D47E9">
      <w:pPr>
        <w:spacing w:after="120"/>
      </w:pPr>
      <w:r>
        <w:t xml:space="preserve">W ramach prac EFDI nad rozwojem stowarzyszenia utworzony został nowy komitet roboczy </w:t>
      </w:r>
      <w:r w:rsidRPr="008D47E9">
        <w:rPr>
          <w:i/>
        </w:rPr>
        <w:t>Strategic Planning Working Group</w:t>
      </w:r>
      <w:r>
        <w:t xml:space="preserve"> (SPWG). SPWG będzie wspierać</w:t>
      </w:r>
      <w:r w:rsidRPr="00B7470B">
        <w:t xml:space="preserve"> Zarząd</w:t>
      </w:r>
      <w:r>
        <w:t xml:space="preserve"> EFDI</w:t>
      </w:r>
      <w:r w:rsidRPr="00B7470B">
        <w:t xml:space="preserve"> w opracowaniu planu strategicznego organizacji na najbliższe trzy lata </w:t>
      </w:r>
      <w:r>
        <w:t xml:space="preserve">tj. </w:t>
      </w:r>
      <w:r w:rsidRPr="00B7470B">
        <w:t xml:space="preserve">2023-2025. </w:t>
      </w:r>
      <w:r>
        <w:t>Członkiem tej grupy został Członek Zarządu BFG Tomasz Obal.</w:t>
      </w:r>
    </w:p>
    <w:p w:rsidR="00AF25E5" w:rsidRDefault="00AF25E5" w:rsidP="008D47E9">
      <w:pPr>
        <w:spacing w:after="120"/>
      </w:pPr>
      <w:r>
        <w:t xml:space="preserve">23 sierpnia br. odbyło się pierwsze spotkanie SPWG </w:t>
      </w:r>
      <w:r w:rsidR="00F70E67">
        <w:t>poświęcone</w:t>
      </w:r>
      <w:r>
        <w:t xml:space="preserve"> omówieni</w:t>
      </w:r>
      <w:r w:rsidR="00F70E67">
        <w:t>u</w:t>
      </w:r>
      <w:r>
        <w:t xml:space="preserve"> </w:t>
      </w:r>
      <w:r w:rsidR="00F70E67">
        <w:t>etapów tworzenia</w:t>
      </w:r>
      <w:r>
        <w:t xml:space="preserve"> projektu planu strategicznego na lata 2023-25. </w:t>
      </w:r>
      <w:r w:rsidR="00F70E67">
        <w:t xml:space="preserve">W pierwszej kolejności zostaną przeprowadzone </w:t>
      </w:r>
      <w:r>
        <w:t>analizy dotychczasowego działania stowarzyszenia, następnie stworzony zostanie projekt planu strategicznego, który docelowo ma zostać zatwierdzony przez Zarząd EFDI pod koniec listopada 2022</w:t>
      </w:r>
      <w:r w:rsidR="008D47E9">
        <w:t xml:space="preserve"> </w:t>
      </w:r>
      <w:r>
        <w:t xml:space="preserve">r. Od </w:t>
      </w:r>
      <w:r w:rsidR="008D47E9">
        <w:t>stycznia</w:t>
      </w:r>
      <w:r>
        <w:t xml:space="preserve"> 2023</w:t>
      </w:r>
      <w:r w:rsidR="008D47E9">
        <w:t xml:space="preserve"> r.</w:t>
      </w:r>
      <w:r>
        <w:t xml:space="preserve"> planowana jest implementacja planu. </w:t>
      </w:r>
      <w:r w:rsidR="00E276C7">
        <w:t>`</w:t>
      </w:r>
    </w:p>
    <w:p w:rsidR="00AF25E5" w:rsidRDefault="00AF25E5" w:rsidP="008D47E9">
      <w:pPr>
        <w:spacing w:after="120"/>
      </w:pPr>
      <w:r>
        <w:t xml:space="preserve">16 września br. Fundusz reprezentowany był również na porannym spotkaniu cyklicznym EFDI EU Coffee Club, na którym przedstawiciele DGSu z Holandii podzielili się swoimi doświadczeniami w zakresie </w:t>
      </w:r>
      <w:r w:rsidRPr="008D47E9">
        <w:rPr>
          <w:i/>
        </w:rPr>
        <w:t>public awareness</w:t>
      </w:r>
      <w:r w:rsidRPr="004B039C">
        <w:t>.</w:t>
      </w:r>
      <w:r w:rsidR="005A6833">
        <w:t xml:space="preserve"> </w:t>
      </w:r>
    </w:p>
    <w:p w:rsidR="00802C52" w:rsidRPr="00802C52" w:rsidRDefault="00802C52" w:rsidP="00F1504D">
      <w:pPr>
        <w:spacing w:before="120" w:after="120"/>
        <w:rPr>
          <w:rFonts w:cs="Calibri Light"/>
        </w:rPr>
      </w:pPr>
      <w:r>
        <w:rPr>
          <w:rFonts w:cs="Calibri Light"/>
        </w:rPr>
        <w:t xml:space="preserve">Przedstawiciele Funduszu wzięli także udział w spotkaniu (w formie telekonferencji) </w:t>
      </w:r>
      <w:r w:rsidRPr="007D6C35">
        <w:rPr>
          <w:rFonts w:cs="Calibri Light"/>
        </w:rPr>
        <w:t>grupy</w:t>
      </w:r>
      <w:r>
        <w:rPr>
          <w:rFonts w:eastAsia="Palatino Linotype" w:cs="Calibri Light"/>
          <w:lang w:eastAsia="en-US"/>
        </w:rPr>
        <w:t xml:space="preserve"> roboczej D3 WG EFDI </w:t>
      </w:r>
      <w:r w:rsidRPr="009E5D19">
        <w:rPr>
          <w:rFonts w:eastAsia="Palatino Linotype" w:cs="Calibri Light"/>
          <w:i/>
          <w:lang w:eastAsia="en-US"/>
        </w:rPr>
        <w:t>–</w:t>
      </w:r>
      <w:r>
        <w:rPr>
          <w:rFonts w:eastAsia="Palatino Linotype" w:cs="Calibri Light"/>
          <w:lang w:eastAsia="en-US"/>
        </w:rPr>
        <w:t xml:space="preserve"> w czasie spotkania</w:t>
      </w:r>
      <w:r w:rsidDel="007504F3">
        <w:rPr>
          <w:rFonts w:eastAsia="Palatino Linotype" w:cs="Calibri Light"/>
          <w:lang w:eastAsia="en-US"/>
        </w:rPr>
        <w:t xml:space="preserve"> </w:t>
      </w:r>
      <w:r>
        <w:rPr>
          <w:rFonts w:eastAsia="Palatino Linotype" w:cs="Calibri Light"/>
          <w:lang w:eastAsia="en-US"/>
        </w:rPr>
        <w:t>zaprezentowano poprawioną wersję dokumentu pt. „</w:t>
      </w:r>
      <w:r w:rsidRPr="009E5D19">
        <w:rPr>
          <w:rFonts w:eastAsia="Palatino Linotype" w:cs="Calibri Light"/>
          <w:i/>
          <w:lang w:eastAsia="en-US"/>
        </w:rPr>
        <w:t>Creditor Hierarchy – state of play</w:t>
      </w:r>
      <w:r>
        <w:rPr>
          <w:rFonts w:eastAsia="Palatino Linotype" w:cs="Calibri Light"/>
          <w:lang w:eastAsia="en-US"/>
        </w:rPr>
        <w:t>” dotyczącego stopnia uprzywilejowania wierzytelności systemów gwarancji depozytów w krajach UE.</w:t>
      </w:r>
    </w:p>
    <w:p w:rsidR="00AF25E5" w:rsidRPr="00E276C7" w:rsidRDefault="00C64DDA" w:rsidP="00E276C7">
      <w:pPr>
        <w:keepNext/>
        <w:spacing w:before="120" w:after="120"/>
        <w:outlineLvl w:val="3"/>
        <w:rPr>
          <w:rFonts w:eastAsia="Times New Roman" w:cs="Calibri Light"/>
          <w:bCs/>
          <w:i/>
          <w:szCs w:val="28"/>
          <w:u w:val="single"/>
        </w:rPr>
      </w:pPr>
      <w:r>
        <w:rPr>
          <w:rFonts w:eastAsia="Times New Roman" w:cs="Calibri Light"/>
          <w:bCs/>
          <w:i/>
          <w:szCs w:val="28"/>
          <w:u w:val="single"/>
        </w:rPr>
        <w:t>EUNB</w:t>
      </w:r>
    </w:p>
    <w:p w:rsidR="00AF25E5" w:rsidRDefault="00AF25E5" w:rsidP="00E276C7">
      <w:pPr>
        <w:spacing w:after="120"/>
      </w:pPr>
      <w:r>
        <w:rPr>
          <w:rFonts w:cs="Calibri Light"/>
        </w:rPr>
        <w:t xml:space="preserve">W </w:t>
      </w:r>
      <w:r w:rsidRPr="00450817">
        <w:rPr>
          <w:rFonts w:cs="Calibri Light"/>
        </w:rPr>
        <w:t>dn</w:t>
      </w:r>
      <w:r w:rsidR="00E276C7">
        <w:rPr>
          <w:rFonts w:cs="Calibri Light"/>
        </w:rPr>
        <w:t>iach</w:t>
      </w:r>
      <w:r w:rsidRPr="00450817">
        <w:rPr>
          <w:rFonts w:cs="Calibri Light"/>
        </w:rPr>
        <w:t xml:space="preserve"> </w:t>
      </w:r>
      <w:r>
        <w:rPr>
          <w:rFonts w:cs="Calibri Light"/>
        </w:rPr>
        <w:t>7-8 lipca</w:t>
      </w:r>
      <w:r w:rsidRPr="00450817">
        <w:rPr>
          <w:rFonts w:cs="Calibri Light"/>
        </w:rPr>
        <w:t xml:space="preserve"> br.</w:t>
      </w:r>
      <w:r>
        <w:rPr>
          <w:rFonts w:cs="Calibri Light"/>
        </w:rPr>
        <w:t xml:space="preserve"> Prezes Zarządu BFG oraz Dyrektor Departamentu Planowania Przymusowej Restrukturyzacji</w:t>
      </w:r>
      <w:r w:rsidRPr="00BF0E89">
        <w:rPr>
          <w:rFonts w:cs="Calibri Light"/>
        </w:rPr>
        <w:t xml:space="preserve"> </w:t>
      </w:r>
      <w:r>
        <w:rPr>
          <w:rFonts w:cs="Calibri Light"/>
        </w:rPr>
        <w:t>wzięli udział w</w:t>
      </w:r>
      <w:r w:rsidRPr="00450817">
        <w:rPr>
          <w:rFonts w:cs="Calibri Light"/>
        </w:rPr>
        <w:t xml:space="preserve"> spotkaniu grupy </w:t>
      </w:r>
      <w:r w:rsidRPr="00E276C7">
        <w:rPr>
          <w:rFonts w:cs="Calibri Light"/>
          <w:i/>
        </w:rPr>
        <w:t>Resolution Committee</w:t>
      </w:r>
      <w:r>
        <w:rPr>
          <w:rFonts w:cs="Calibri Light"/>
        </w:rPr>
        <w:t xml:space="preserve"> w ramach </w:t>
      </w:r>
      <w:r>
        <w:t>EBA (ResCo), gdzie przedstawiony</w:t>
      </w:r>
      <w:r w:rsidRPr="00397B08">
        <w:t xml:space="preserve"> został </w:t>
      </w:r>
      <w:r>
        <w:t>m.in. a</w:t>
      </w:r>
      <w:r w:rsidRPr="00397B08">
        <w:t>ktualny stan zmian regulacyjnych polityki restrukturyzacji i uporządkowanej likwidacji</w:t>
      </w:r>
      <w:r>
        <w:t>, z</w:t>
      </w:r>
      <w:r w:rsidRPr="00397B08">
        <w:t xml:space="preserve">aktualizowane </w:t>
      </w:r>
      <w:r>
        <w:t xml:space="preserve">zostało </w:t>
      </w:r>
      <w:r w:rsidR="00E276C7">
        <w:t>sprawozdanie z </w:t>
      </w:r>
      <w:r w:rsidRPr="00397B08">
        <w:t>monitorowania instrumentów TLAC-MREL</w:t>
      </w:r>
      <w:r>
        <w:t xml:space="preserve"> oraz zaprezentowano ocenę</w:t>
      </w:r>
      <w:r w:rsidRPr="00397B08">
        <w:t xml:space="preserve"> skutków MREL – metodologi</w:t>
      </w:r>
      <w:r>
        <w:t>ę</w:t>
      </w:r>
      <w:r w:rsidRPr="00397B08">
        <w:t xml:space="preserve"> i </w:t>
      </w:r>
      <w:r>
        <w:t>aktualizację</w:t>
      </w:r>
      <w:r w:rsidRPr="00397B08">
        <w:t xml:space="preserve"> zakresu gromadzenia danych</w:t>
      </w:r>
      <w:r>
        <w:t>.</w:t>
      </w:r>
    </w:p>
    <w:p w:rsidR="00C64DDA" w:rsidRDefault="00C64DDA" w:rsidP="00C64DDA">
      <w:pPr>
        <w:spacing w:before="120" w:after="120"/>
        <w:rPr>
          <w:rFonts w:cs="Calibri Light"/>
        </w:rPr>
      </w:pPr>
      <w:r w:rsidRPr="00343A48">
        <w:rPr>
          <w:rFonts w:cs="Calibri Light"/>
        </w:rPr>
        <w:t>W</w:t>
      </w:r>
      <w:r>
        <w:rPr>
          <w:rFonts w:cs="Calibri Light"/>
        </w:rPr>
        <w:t xml:space="preserve"> dniach 5-6 września 2022 r. przedstawiciel</w:t>
      </w:r>
      <w:r w:rsidRPr="00343A48">
        <w:rPr>
          <w:rFonts w:cs="Calibri Light"/>
        </w:rPr>
        <w:t xml:space="preserve"> Funduszu w</w:t>
      </w:r>
      <w:r>
        <w:rPr>
          <w:rFonts w:cs="Calibri Light"/>
        </w:rPr>
        <w:t>ziął udział w warsztatach implementacyjnych now</w:t>
      </w:r>
      <w:r w:rsidR="002C5372">
        <w:rPr>
          <w:rFonts w:cs="Calibri Light"/>
        </w:rPr>
        <w:t>e</w:t>
      </w:r>
      <w:r>
        <w:rPr>
          <w:rFonts w:cs="Calibri Light"/>
        </w:rPr>
        <w:t xml:space="preserve"> Wytyczn</w:t>
      </w:r>
      <w:r w:rsidR="002C5372">
        <w:rPr>
          <w:rFonts w:cs="Calibri Light"/>
        </w:rPr>
        <w:t>e</w:t>
      </w:r>
      <w:r>
        <w:rPr>
          <w:rFonts w:cs="Calibri Light"/>
        </w:rPr>
        <w:t xml:space="preserve"> EUNB w sprawie testów warunków skrajnych systemów gwarantowania depozytów oraz posiedzeniu grupy zadaniowej TFDGS </w:t>
      </w:r>
      <w:r w:rsidR="002C5372">
        <w:t>(</w:t>
      </w:r>
      <w:r w:rsidR="002C5372" w:rsidRPr="001116A7">
        <w:rPr>
          <w:i/>
        </w:rPr>
        <w:t>Taskforce on Deposit Duarantee Schemes</w:t>
      </w:r>
      <w:r w:rsidR="002C5372">
        <w:t xml:space="preserve">) </w:t>
      </w:r>
      <w:r>
        <w:rPr>
          <w:rFonts w:cs="Calibri Light"/>
        </w:rPr>
        <w:t xml:space="preserve">poświęconej upadkom banków </w:t>
      </w:r>
      <w:r>
        <w:rPr>
          <w:rFonts w:cs="Calibri Light"/>
          <w:i/>
        </w:rPr>
        <w:t xml:space="preserve">Sberbank </w:t>
      </w:r>
      <w:r w:rsidRPr="00352735">
        <w:rPr>
          <w:rFonts w:cs="Calibri Light"/>
          <w:i/>
        </w:rPr>
        <w:t>Europe</w:t>
      </w:r>
      <w:r>
        <w:rPr>
          <w:rFonts w:cs="Calibri Light"/>
          <w:i/>
        </w:rPr>
        <w:t xml:space="preserve"> AG</w:t>
      </w:r>
      <w:r>
        <w:rPr>
          <w:rFonts w:cs="Calibri Light"/>
        </w:rPr>
        <w:t xml:space="preserve"> oraz </w:t>
      </w:r>
      <w:r>
        <w:rPr>
          <w:rFonts w:cs="Calibri Light"/>
          <w:i/>
        </w:rPr>
        <w:t>Amsterdam Trade B</w:t>
      </w:r>
      <w:r w:rsidRPr="00352735">
        <w:rPr>
          <w:rFonts w:cs="Calibri Light"/>
          <w:i/>
        </w:rPr>
        <w:t>ank</w:t>
      </w:r>
      <w:r>
        <w:rPr>
          <w:rFonts w:cs="Calibri Light"/>
          <w:i/>
        </w:rPr>
        <w:t xml:space="preserve">, </w:t>
      </w:r>
      <w:r w:rsidRPr="00BC7626">
        <w:rPr>
          <w:rFonts w:cs="Calibri Light"/>
        </w:rPr>
        <w:t>które odbyły się</w:t>
      </w:r>
      <w:r>
        <w:rPr>
          <w:rFonts w:cs="Calibri Light"/>
          <w:i/>
        </w:rPr>
        <w:t xml:space="preserve"> </w:t>
      </w:r>
      <w:r>
        <w:rPr>
          <w:rFonts w:cs="Calibri Light"/>
        </w:rPr>
        <w:t>w siedzibie EUNB w Paryżu.</w:t>
      </w:r>
    </w:p>
    <w:p w:rsidR="00AF25E5" w:rsidRDefault="00AF25E5" w:rsidP="00E276C7">
      <w:pPr>
        <w:spacing w:after="120"/>
      </w:pPr>
      <w:r w:rsidRPr="00D42E28">
        <w:t>Ponadto, w dniach 8-9 września br. odbyło się spotkanie grupy EBA-</w:t>
      </w:r>
      <w:r w:rsidRPr="00D42E28">
        <w:rPr>
          <w:i/>
        </w:rPr>
        <w:t>Subgroup on Resolution Planning Preparedness</w:t>
      </w:r>
      <w:r w:rsidRPr="00D42E28">
        <w:t>, na którym przedstawione zostały wytyczne dotyczące możliwości rozrachunku</w:t>
      </w:r>
      <w:r w:rsidR="00A33BEC" w:rsidRPr="00D42E28">
        <w:t xml:space="preserve"> wykonalności przymusowej restrukturyzacji</w:t>
      </w:r>
      <w:r w:rsidRPr="00D42E28">
        <w:t>, oraz przeprowadzono dyskusję na temat zgodności i monitorowania rozrachunków. Przedstawiony został również raport MREL dotyczący</w:t>
      </w:r>
      <w:r w:rsidR="005A6833">
        <w:t xml:space="preserve"> </w:t>
      </w:r>
      <w:r w:rsidRPr="00D42E28">
        <w:t>projektu zmian metodologicznych</w:t>
      </w:r>
      <w:r w:rsidR="001116A7" w:rsidRPr="00D42E28">
        <w:t>.</w:t>
      </w:r>
    </w:p>
    <w:p w:rsidR="00F1504D" w:rsidRPr="001116A7" w:rsidRDefault="00AF25E5" w:rsidP="00F1504D">
      <w:pPr>
        <w:keepNext/>
        <w:spacing w:before="120" w:after="120"/>
        <w:outlineLvl w:val="3"/>
        <w:rPr>
          <w:rFonts w:eastAsia="Times New Roman" w:cs="Calibri Light"/>
          <w:bCs/>
          <w:i/>
          <w:szCs w:val="28"/>
          <w:u w:val="single"/>
        </w:rPr>
      </w:pPr>
      <w:r w:rsidRPr="001116A7">
        <w:rPr>
          <w:rFonts w:eastAsia="Times New Roman" w:cs="Calibri Light"/>
          <w:bCs/>
          <w:i/>
          <w:szCs w:val="28"/>
          <w:u w:val="single"/>
        </w:rPr>
        <w:t>Inne</w:t>
      </w:r>
    </w:p>
    <w:p w:rsidR="00F1504D" w:rsidRDefault="00F1504D" w:rsidP="00885147">
      <w:pPr>
        <w:spacing w:after="120"/>
      </w:pPr>
      <w:r>
        <w:t>W III kwartale br. kontynuowano prace zmierzające do podpisania umowy bilateralnej pomiędzy Funduszem a Entschädigungseinrichtung deutscher Banken GmbH (EdB) – jednym z niemieckich systemów gwarantowania depozytów, obejmującym ochroną gwarancyjną środki klientów zgromadzone w oddziałach niemieckich banków w Polsce. Umowa będzie dotyczyła transgranicznych wypłat środków gwarantowanych przez:</w:t>
      </w:r>
    </w:p>
    <w:p w:rsidR="00F1504D" w:rsidRPr="007D6C35" w:rsidRDefault="00F1504D" w:rsidP="008004CF">
      <w:pPr>
        <w:numPr>
          <w:ilvl w:val="0"/>
          <w:numId w:val="19"/>
        </w:numPr>
        <w:spacing w:after="0"/>
        <w:ind w:left="714" w:hanging="357"/>
        <w:rPr>
          <w:rFonts w:eastAsia="Palatino Linotype" w:cs="Calibri Light"/>
          <w:lang w:eastAsia="en-US"/>
        </w:rPr>
      </w:pPr>
      <w:r w:rsidRPr="007D6C35">
        <w:rPr>
          <w:rFonts w:cs="Calibri Light"/>
        </w:rPr>
        <w:t>EdB</w:t>
      </w:r>
      <w:r>
        <w:rPr>
          <w:rFonts w:eastAsia="Palatino Linotype" w:cs="Calibri Light"/>
          <w:lang w:eastAsia="en-US"/>
        </w:rPr>
        <w:t xml:space="preserve"> </w:t>
      </w:r>
      <w:r w:rsidRPr="00B72CE0">
        <w:rPr>
          <w:rFonts w:eastAsia="Palatino Linotype" w:cs="Calibri Light"/>
          <w:i/>
          <w:lang w:eastAsia="en-US"/>
        </w:rPr>
        <w:t>–</w:t>
      </w:r>
      <w:r w:rsidRPr="007D6C35">
        <w:rPr>
          <w:rFonts w:eastAsia="Palatino Linotype" w:cs="Calibri Light"/>
          <w:lang w:eastAsia="en-US"/>
        </w:rPr>
        <w:t xml:space="preserve"> deponentom oddziałów polskiego banku, </w:t>
      </w:r>
      <w:r>
        <w:rPr>
          <w:rFonts w:eastAsia="Palatino Linotype" w:cs="Calibri Light"/>
          <w:lang w:eastAsia="en-US"/>
        </w:rPr>
        <w:t>utworzonych</w:t>
      </w:r>
      <w:r w:rsidRPr="007D6C35">
        <w:rPr>
          <w:rFonts w:eastAsia="Palatino Linotype" w:cs="Calibri Light"/>
          <w:lang w:eastAsia="en-US"/>
        </w:rPr>
        <w:t xml:space="preserve"> na terytorium Niemiec </w:t>
      </w:r>
      <w:r>
        <w:rPr>
          <w:rFonts w:eastAsia="Palatino Linotype" w:cs="Calibri Light"/>
          <w:lang w:eastAsia="en-US"/>
        </w:rPr>
        <w:t xml:space="preserve">– </w:t>
      </w:r>
      <w:r w:rsidRPr="007D6C35">
        <w:rPr>
          <w:rFonts w:eastAsia="Palatino Linotype" w:cs="Calibri Light"/>
          <w:lang w:eastAsia="en-US"/>
        </w:rPr>
        <w:t>w</w:t>
      </w:r>
      <w:r>
        <w:rPr>
          <w:rFonts w:eastAsia="Palatino Linotype" w:cs="Calibri Light"/>
          <w:lang w:eastAsia="en-US"/>
        </w:rPr>
        <w:t> </w:t>
      </w:r>
      <w:r w:rsidRPr="007D6C35">
        <w:rPr>
          <w:rFonts w:eastAsia="Palatino Linotype" w:cs="Calibri Light"/>
          <w:lang w:eastAsia="en-US"/>
        </w:rPr>
        <w:t>imieniu i na rachunek Funduszu,</w:t>
      </w:r>
    </w:p>
    <w:p w:rsidR="00F1504D" w:rsidRPr="007D6C35" w:rsidRDefault="00F1504D" w:rsidP="008004CF">
      <w:pPr>
        <w:numPr>
          <w:ilvl w:val="0"/>
          <w:numId w:val="19"/>
        </w:numPr>
        <w:spacing w:after="0"/>
        <w:ind w:left="714" w:hanging="357"/>
        <w:rPr>
          <w:rFonts w:eastAsia="Palatino Linotype" w:cs="Calibri Light"/>
          <w:lang w:eastAsia="en-US"/>
        </w:rPr>
      </w:pPr>
      <w:r w:rsidRPr="007D6C35">
        <w:rPr>
          <w:rFonts w:cs="Calibri Light"/>
        </w:rPr>
        <w:t>Fundusz</w:t>
      </w:r>
      <w:r w:rsidRPr="007D6C35">
        <w:rPr>
          <w:rFonts w:eastAsia="Palatino Linotype" w:cs="Calibri Light"/>
          <w:lang w:eastAsia="en-US"/>
        </w:rPr>
        <w:t xml:space="preserve"> </w:t>
      </w:r>
      <w:r w:rsidRPr="00E85136">
        <w:rPr>
          <w:rFonts w:eastAsia="Palatino Linotype" w:cs="Calibri Light"/>
          <w:i/>
          <w:lang w:eastAsia="en-US"/>
        </w:rPr>
        <w:t>–</w:t>
      </w:r>
      <w:r>
        <w:rPr>
          <w:rFonts w:eastAsia="Palatino Linotype" w:cs="Calibri Light"/>
          <w:i/>
          <w:lang w:eastAsia="en-US"/>
        </w:rPr>
        <w:t xml:space="preserve"> </w:t>
      </w:r>
      <w:r w:rsidRPr="007D6C35">
        <w:rPr>
          <w:rFonts w:eastAsia="Palatino Linotype" w:cs="Calibri Light"/>
          <w:lang w:eastAsia="en-US"/>
        </w:rPr>
        <w:t xml:space="preserve">deponentom oddziałów niemieckich banków, </w:t>
      </w:r>
      <w:r>
        <w:rPr>
          <w:rFonts w:eastAsia="Palatino Linotype" w:cs="Calibri Light"/>
          <w:lang w:eastAsia="en-US"/>
        </w:rPr>
        <w:t>które utworzyły takie oddziały</w:t>
      </w:r>
      <w:r w:rsidRPr="007D6C35">
        <w:rPr>
          <w:rFonts w:eastAsia="Palatino Linotype" w:cs="Calibri Light"/>
          <w:lang w:eastAsia="en-US"/>
        </w:rPr>
        <w:t xml:space="preserve"> na terytorium </w:t>
      </w:r>
      <w:r>
        <w:rPr>
          <w:rFonts w:eastAsia="Palatino Linotype" w:cs="Calibri Light"/>
          <w:lang w:eastAsia="en-US"/>
        </w:rPr>
        <w:t>Polski</w:t>
      </w:r>
      <w:r w:rsidRPr="007D6C35">
        <w:rPr>
          <w:rFonts w:eastAsia="Palatino Linotype" w:cs="Calibri Light"/>
          <w:lang w:eastAsia="en-US"/>
        </w:rPr>
        <w:t xml:space="preserve"> </w:t>
      </w:r>
      <w:r>
        <w:rPr>
          <w:rFonts w:eastAsia="Palatino Linotype" w:cs="Calibri Light"/>
          <w:lang w:eastAsia="en-US"/>
        </w:rPr>
        <w:t xml:space="preserve">– </w:t>
      </w:r>
      <w:r w:rsidRPr="007D6C35">
        <w:rPr>
          <w:rFonts w:eastAsia="Palatino Linotype" w:cs="Calibri Light"/>
          <w:lang w:eastAsia="en-US"/>
        </w:rPr>
        <w:t>w imieniu i na rachunek EdB.</w:t>
      </w:r>
    </w:p>
    <w:p w:rsidR="00F1504D" w:rsidRDefault="00F1504D" w:rsidP="00F1504D">
      <w:pPr>
        <w:spacing w:before="120" w:after="120"/>
      </w:pPr>
      <w:r>
        <w:t xml:space="preserve">Umowa ma stanowić zbiór uregulowań formalno-prawnych (w tym zadań i obowiązków obu stron, stosowanych narzędzi, kwestii organizacyjnych i wzajemnych rozliczeń) pomiędzy EdB, </w:t>
      </w:r>
      <w:r>
        <w:br/>
        <w:t xml:space="preserve">a Funduszem, które będą miały zastosowanie w przypadku ww. wypłat. </w:t>
      </w:r>
    </w:p>
    <w:p w:rsidR="00F1504D" w:rsidRDefault="00F1504D" w:rsidP="00F1504D">
      <w:pPr>
        <w:spacing w:after="120"/>
      </w:pPr>
      <w:r>
        <w:t>W okresie sprawozdawczym Fundusz we współpracy ze słowackim systemem gwarancji depozytów (Fond ochrany vkladov (FOV)) pomyślnie przeprowadził test wypłat transgranicznych. Zgodnie z założeniami testu zweryfikowana została zdolność Funduszu jako DGS-u macierzystego oraz FOV jako DGS-u goszczącego do wykonywania wskazanych poniżej zadań, w tym wymiana plików testowych poprzez kanał komunikacji, który byłby wykorzystany w przypadku rzeczywistego spełnienia warunku gwarancji wobec banku krajowego mającego oddziały w Słowacji.</w:t>
      </w:r>
    </w:p>
    <w:p w:rsidR="00F1504D" w:rsidRDefault="00F1504D" w:rsidP="00F1504D">
      <w:pPr>
        <w:spacing w:after="120"/>
      </w:pPr>
      <w:r>
        <w:t>Testem objęto zdolność do:</w:t>
      </w:r>
    </w:p>
    <w:p w:rsidR="00F1504D" w:rsidRPr="00BC7626" w:rsidRDefault="00F1504D" w:rsidP="008004CF">
      <w:pPr>
        <w:numPr>
          <w:ilvl w:val="0"/>
          <w:numId w:val="19"/>
        </w:numPr>
        <w:spacing w:after="0"/>
        <w:ind w:left="714" w:hanging="357"/>
        <w:rPr>
          <w:rFonts w:eastAsia="Palatino Linotype" w:cs="Calibri Light"/>
          <w:lang w:eastAsia="en-US"/>
        </w:rPr>
      </w:pPr>
      <w:r w:rsidRPr="007D6C35">
        <w:rPr>
          <w:rFonts w:cs="Calibri Light"/>
        </w:rPr>
        <w:t>sporządzenia</w:t>
      </w:r>
      <w:r w:rsidRPr="00BC7626">
        <w:rPr>
          <w:rFonts w:eastAsia="Palatino Linotype" w:cs="Calibri Light"/>
          <w:lang w:eastAsia="en-US"/>
        </w:rPr>
        <w:t xml:space="preserve"> przez BFG testowego </w:t>
      </w:r>
      <w:r>
        <w:rPr>
          <w:rFonts w:eastAsia="Palatino Linotype" w:cs="Calibri Light"/>
          <w:lang w:eastAsia="en-US"/>
        </w:rPr>
        <w:t>p</w:t>
      </w:r>
      <w:r w:rsidRPr="00BC7626">
        <w:rPr>
          <w:rFonts w:eastAsia="Palatino Linotype" w:cs="Calibri Light"/>
          <w:lang w:eastAsia="en-US"/>
        </w:rPr>
        <w:t xml:space="preserve">liku z instrukcjami płatniczymi </w:t>
      </w:r>
      <w:r>
        <w:rPr>
          <w:rFonts w:eastAsia="Palatino Linotype" w:cs="Calibri Light"/>
          <w:lang w:eastAsia="en-US"/>
        </w:rPr>
        <w:t xml:space="preserve">(testowej listy wypłat) </w:t>
      </w:r>
      <w:r w:rsidRPr="00BC7626">
        <w:rPr>
          <w:rFonts w:eastAsia="Palatino Linotype" w:cs="Calibri Light"/>
          <w:lang w:eastAsia="en-US"/>
        </w:rPr>
        <w:t xml:space="preserve">oraz </w:t>
      </w:r>
      <w:r>
        <w:rPr>
          <w:rFonts w:eastAsia="Palatino Linotype" w:cs="Calibri Light"/>
          <w:lang w:eastAsia="en-US"/>
        </w:rPr>
        <w:t>p</w:t>
      </w:r>
      <w:r w:rsidRPr="00BC7626">
        <w:rPr>
          <w:rFonts w:eastAsia="Palatino Linotype" w:cs="Calibri Light"/>
          <w:lang w:eastAsia="en-US"/>
        </w:rPr>
        <w:t>liku anulowania wypłaty,</w:t>
      </w:r>
    </w:p>
    <w:p w:rsidR="00F1504D" w:rsidRPr="00BC7626" w:rsidRDefault="00F1504D" w:rsidP="008004CF">
      <w:pPr>
        <w:numPr>
          <w:ilvl w:val="0"/>
          <w:numId w:val="19"/>
        </w:numPr>
        <w:spacing w:after="0"/>
        <w:ind w:left="714" w:hanging="357"/>
        <w:rPr>
          <w:rFonts w:eastAsia="Palatino Linotype" w:cs="Calibri Light"/>
          <w:lang w:eastAsia="en-US"/>
        </w:rPr>
      </w:pPr>
      <w:r w:rsidRPr="007D6C35">
        <w:rPr>
          <w:rFonts w:cs="Calibri Light"/>
        </w:rPr>
        <w:t>sporządzenia</w:t>
      </w:r>
      <w:r w:rsidRPr="00BC7626">
        <w:rPr>
          <w:rFonts w:eastAsia="Palatino Linotype" w:cs="Calibri Light"/>
          <w:lang w:eastAsia="en-US"/>
        </w:rPr>
        <w:t xml:space="preserve"> przez FOV pliku Raportu statusu płatności uwzględniającego zasymulowane transakcje wypłat jak i anulowanie płatności,</w:t>
      </w:r>
    </w:p>
    <w:p w:rsidR="00F1504D" w:rsidRPr="00BC7626" w:rsidRDefault="00F1504D" w:rsidP="008004CF">
      <w:pPr>
        <w:numPr>
          <w:ilvl w:val="0"/>
          <w:numId w:val="19"/>
        </w:numPr>
        <w:spacing w:after="120"/>
        <w:ind w:left="714" w:hanging="357"/>
        <w:rPr>
          <w:rFonts w:eastAsia="Palatino Linotype" w:cs="Calibri Light"/>
          <w:lang w:eastAsia="en-US"/>
        </w:rPr>
      </w:pPr>
      <w:r w:rsidRPr="00BC7626">
        <w:rPr>
          <w:rFonts w:eastAsia="Palatino Linotype" w:cs="Calibri Light"/>
          <w:lang w:eastAsia="en-US"/>
        </w:rPr>
        <w:t xml:space="preserve">wymiany zaszyfrowanych ww. plików pomiędzy BFG a FOV, tj. ich przekazanie przy użyciu przeznaczonego do tego celu Portalu BFG-STP. </w:t>
      </w:r>
    </w:p>
    <w:p w:rsidR="00AF25E5" w:rsidRPr="001116A7" w:rsidRDefault="00AF25E5" w:rsidP="001116A7">
      <w:pPr>
        <w:spacing w:after="120"/>
      </w:pPr>
      <w:r w:rsidRPr="001116A7">
        <w:t xml:space="preserve">13 września br. </w:t>
      </w:r>
      <w:r w:rsidR="006D0910">
        <w:t>Fundusz</w:t>
      </w:r>
      <w:r w:rsidRPr="001116A7">
        <w:t xml:space="preserve"> gościł delegację Krajowej Komisji Nadzoru Finansowego (</w:t>
      </w:r>
      <w:r w:rsidRPr="006D0910">
        <w:rPr>
          <w:i/>
        </w:rPr>
        <w:t>National Financial Supervisory Commission,</w:t>
      </w:r>
      <w:r w:rsidRPr="001116A7">
        <w:t xml:space="preserve"> NFSC) Wietnamu. Na spotkaniu instytucj</w:t>
      </w:r>
      <w:r w:rsidR="006D0910">
        <w:t>e wymieniły się doświadczeniami,</w:t>
      </w:r>
      <w:r w:rsidRPr="001116A7">
        <w:t xml:space="preserve"> przedstawiona została rola BFG w utrz</w:t>
      </w:r>
      <w:r w:rsidR="006D0910">
        <w:t>ymaniu stabilności finansowej w </w:t>
      </w:r>
      <w:r w:rsidRPr="001116A7">
        <w:t>Polsce, omówione zostały doświadczenia w ochronie konsumentów finansowych w Polsce, a także przedstawione zostały zasady postępowania z upadającymi bankami</w:t>
      </w:r>
      <w:r w:rsidR="006D0910">
        <w:t xml:space="preserve"> oraz</w:t>
      </w:r>
      <w:r w:rsidRPr="001116A7">
        <w:t xml:space="preserve"> metody identyfikacji ryzyka dla polskiego systemu finansowego.</w:t>
      </w:r>
    </w:p>
    <w:p w:rsidR="00F64DE8" w:rsidRDefault="00AF25E5" w:rsidP="00A34AE0">
      <w:pPr>
        <w:spacing w:after="120"/>
      </w:pPr>
      <w:r>
        <w:t xml:space="preserve">W </w:t>
      </w:r>
      <w:r w:rsidRPr="00CB6E51">
        <w:t xml:space="preserve">okresie sprawozdawczym miały miejsce trzy spotkania z delegacjami </w:t>
      </w:r>
      <w:r w:rsidR="00F64DE8">
        <w:t xml:space="preserve">Funduszu Gwarantowania Depozytów z </w:t>
      </w:r>
      <w:r w:rsidRPr="00CB6E51">
        <w:t>Ukrain</w:t>
      </w:r>
      <w:r w:rsidR="00F64DE8">
        <w:t>y:</w:t>
      </w:r>
    </w:p>
    <w:p w:rsidR="005C20EE" w:rsidRDefault="00AF25E5" w:rsidP="008004CF">
      <w:pPr>
        <w:pStyle w:val="Akapitzlist"/>
        <w:numPr>
          <w:ilvl w:val="0"/>
          <w:numId w:val="28"/>
        </w:numPr>
        <w:spacing w:after="120"/>
        <w:ind w:left="714" w:hanging="357"/>
      </w:pPr>
      <w:r w:rsidRPr="00CB6E51">
        <w:t xml:space="preserve">8 września 2022 r. </w:t>
      </w:r>
      <w:r w:rsidR="00F64DE8">
        <w:t xml:space="preserve">– </w:t>
      </w:r>
      <w:r w:rsidRPr="00CB6E51">
        <w:t>BFG podpisał porozumienie o współpracy ze</w:t>
      </w:r>
      <w:r w:rsidR="00F64DE8">
        <w:t xml:space="preserve"> </w:t>
      </w:r>
      <w:r w:rsidRPr="00CB6E51">
        <w:t>swoim ukrai</w:t>
      </w:r>
      <w:r>
        <w:t>ńskim odpowiednikiem</w:t>
      </w:r>
      <w:r w:rsidR="00F64DE8">
        <w:t>, którego</w:t>
      </w:r>
      <w:r w:rsidRPr="00834238">
        <w:t xml:space="preserve"> cel</w:t>
      </w:r>
      <w:r w:rsidR="00F64DE8">
        <w:t>em jest</w:t>
      </w:r>
      <w:r w:rsidRPr="00834238">
        <w:t xml:space="preserve"> usystematyz</w:t>
      </w:r>
      <w:r w:rsidR="00F64DE8">
        <w:t>owanie</w:t>
      </w:r>
      <w:r w:rsidRPr="00834238">
        <w:t xml:space="preserve"> ram dwustronnej współpracy, w tym wsparcia, jakie BFG w szczególnym czasie rosyjskiej agresji na Ukrainę oferuje ukraińskim partnerom</w:t>
      </w:r>
      <w:r w:rsidR="00E77895">
        <w:t>,</w:t>
      </w:r>
      <w:r w:rsidRPr="00834238">
        <w:t xml:space="preserve"> </w:t>
      </w:r>
    </w:p>
    <w:p w:rsidR="005C20EE" w:rsidRDefault="00AF25E5" w:rsidP="008004CF">
      <w:pPr>
        <w:pStyle w:val="Akapitzlist"/>
        <w:numPr>
          <w:ilvl w:val="0"/>
          <w:numId w:val="28"/>
        </w:numPr>
        <w:spacing w:after="120"/>
        <w:ind w:left="714" w:hanging="357"/>
      </w:pPr>
      <w:r w:rsidRPr="00834238">
        <w:t xml:space="preserve">20 września </w:t>
      </w:r>
      <w:r w:rsidR="00E77895">
        <w:t>–</w:t>
      </w:r>
      <w:r w:rsidR="00885147">
        <w:t xml:space="preserve"> </w:t>
      </w:r>
      <w:r w:rsidRPr="00834238">
        <w:t>spotkani</w:t>
      </w:r>
      <w:r w:rsidR="00885147">
        <w:t>e</w:t>
      </w:r>
      <w:r w:rsidRPr="00834238">
        <w:t xml:space="preserve"> robocze</w:t>
      </w:r>
      <w:r w:rsidR="00E77895">
        <w:t>,</w:t>
      </w:r>
      <w:r w:rsidRPr="00834238">
        <w:t xml:space="preserve"> </w:t>
      </w:r>
    </w:p>
    <w:p w:rsidR="00AF25E5" w:rsidRDefault="005C20EE" w:rsidP="008004CF">
      <w:pPr>
        <w:pStyle w:val="Akapitzlist"/>
        <w:numPr>
          <w:ilvl w:val="0"/>
          <w:numId w:val="28"/>
        </w:numPr>
        <w:spacing w:after="120"/>
        <w:ind w:left="714" w:hanging="357"/>
      </w:pPr>
      <w:r>
        <w:t xml:space="preserve">23 września – </w:t>
      </w:r>
      <w:r w:rsidR="00AF25E5" w:rsidRPr="00834238">
        <w:t>siedzibę</w:t>
      </w:r>
      <w:r>
        <w:t xml:space="preserve"> F</w:t>
      </w:r>
      <w:r w:rsidR="00AF25E5" w:rsidRPr="00834238">
        <w:t>unduszu odwiedziła delegacja ukraińska w ramach pomocy</w:t>
      </w:r>
      <w:r w:rsidR="00E77895">
        <w:t>,</w:t>
      </w:r>
      <w:r w:rsidR="00AF25E5" w:rsidRPr="00834238">
        <w:t xml:space="preserve"> którą jakiś czas temu BFG zaczął świadczyć stronie ukraińskiej w ramach trzech niezależnych projektów tj. pomocy technicznej z ramienia WB, projektu w ramach TAIEX oraz implementacji BRRD do systemu ukraińskiego. BFG podzielił się doświadczeniami z zakresu</w:t>
      </w:r>
      <w:r w:rsidR="00AF25E5">
        <w:t xml:space="preserve"> swojej działalności. Poruszona została </w:t>
      </w:r>
      <w:r w:rsidR="00AF25E5" w:rsidRPr="00FC16E6">
        <w:t>kwestia procesu wyliczania składek oraz wyznaczania wartości docelowych BFG, a także ogólna charakterystyka warunków finansowania</w:t>
      </w:r>
      <w:r w:rsidR="00AF25E5">
        <w:t xml:space="preserve">. </w:t>
      </w:r>
      <w:r w:rsidR="00AF25E5" w:rsidRPr="00FC16E6">
        <w:t xml:space="preserve">Kolejnym punktem spotkania było omówienie stres testów w BFG w latach 2017-2019, etapy wdrożenia procesu stres testów w </w:t>
      </w:r>
      <w:r w:rsidR="00E77895">
        <w:t>BFG oraz rodzaje stres testów i </w:t>
      </w:r>
      <w:r w:rsidR="00AF25E5" w:rsidRPr="00FC16E6">
        <w:t>doświadczenia związane z ich realizacją.</w:t>
      </w:r>
      <w:r w:rsidR="00AF25E5">
        <w:t xml:space="preserve"> Planowane są dalsze spotkania tematyczne.</w:t>
      </w:r>
    </w:p>
    <w:p w:rsidR="00F1504D" w:rsidRPr="00F70E67" w:rsidRDefault="00F1504D" w:rsidP="00F1504D">
      <w:pPr>
        <w:spacing w:after="120"/>
        <w:rPr>
          <w:lang w:val="en-US"/>
        </w:rPr>
      </w:pPr>
      <w:r w:rsidRPr="006720D5">
        <w:rPr>
          <w:rFonts w:cs="Calibri Light"/>
        </w:rPr>
        <w:t>W dn</w:t>
      </w:r>
      <w:r>
        <w:rPr>
          <w:rFonts w:cs="Calibri Light"/>
        </w:rPr>
        <w:t>iach</w:t>
      </w:r>
      <w:r w:rsidRPr="006720D5">
        <w:rPr>
          <w:rFonts w:cs="Calibri Light"/>
        </w:rPr>
        <w:t xml:space="preserve"> 26-27 września </w:t>
      </w:r>
      <w:r>
        <w:rPr>
          <w:rFonts w:cs="Calibri Light"/>
        </w:rPr>
        <w:t>br. na zaproszenie Z-cy Ministra Sprawiedliwości</w:t>
      </w:r>
      <w:r w:rsidRPr="006720D5">
        <w:rPr>
          <w:rFonts w:cs="Calibri Light"/>
        </w:rPr>
        <w:t xml:space="preserve"> </w:t>
      </w:r>
      <w:r>
        <w:rPr>
          <w:rFonts w:cs="Calibri Light"/>
        </w:rPr>
        <w:t xml:space="preserve">Czech </w:t>
      </w:r>
      <w:r w:rsidRPr="006720D5">
        <w:rPr>
          <w:rFonts w:cs="Calibri Light"/>
        </w:rPr>
        <w:t>przedstawiciel BFG</w:t>
      </w:r>
      <w:r>
        <w:rPr>
          <w:rFonts w:cs="Calibri Light"/>
        </w:rPr>
        <w:t xml:space="preserve"> </w:t>
      </w:r>
      <w:r w:rsidRPr="006720D5">
        <w:rPr>
          <w:rFonts w:cs="Calibri Light"/>
        </w:rPr>
        <w:t xml:space="preserve">miał </w:t>
      </w:r>
      <w:r w:rsidRPr="001116A7">
        <w:t xml:space="preserve">wystąpienie na Europejskiej Konferencji pt. </w:t>
      </w:r>
      <w:r w:rsidRPr="006D0910">
        <w:rPr>
          <w:i/>
          <w:lang w:val="en-US"/>
        </w:rPr>
        <w:t>European Restructuring &amp; Insolvency Conference: Performance of insolvency administrator activities in EU member states</w:t>
      </w:r>
      <w:r w:rsidRPr="00F70E67">
        <w:rPr>
          <w:lang w:val="en-US"/>
        </w:rPr>
        <w:t xml:space="preserve"> (ERIC) zorganizowanej w ramach czeskiej prezydencji w Radzie UE.</w:t>
      </w:r>
    </w:p>
    <w:p w:rsidR="0019101B" w:rsidRDefault="0019101B" w:rsidP="0019101B">
      <w:r w:rsidRPr="00A34AE0">
        <w:t xml:space="preserve">Ponadto w okresie sprawozdawczym Fundusz był reprezentowany na spotkaniach działającej w ramach EFDI grupy </w:t>
      </w:r>
      <w:r w:rsidRPr="00A34AE0">
        <w:rPr>
          <w:i/>
        </w:rPr>
        <w:t>Liability calculation group</w:t>
      </w:r>
      <w:r w:rsidRPr="00A34AE0">
        <w:t>, która prowadzi prace nad przeglądem metodologii określania potencjalnych zobowiązań systemów gwarantowania depozytów, które mają się zakończyć przygotowaniem dokumentu roboczego na ten temat.</w:t>
      </w:r>
    </w:p>
    <w:p w:rsidR="0076523D" w:rsidRDefault="0076523D" w:rsidP="008004CF">
      <w:pPr>
        <w:pStyle w:val="Nagwek2"/>
        <w:numPr>
          <w:ilvl w:val="0"/>
          <w:numId w:val="5"/>
        </w:numPr>
        <w:spacing w:before="240"/>
        <w:ind w:left="714" w:hanging="357"/>
        <w:rPr>
          <w:rFonts w:cs="Calibri Light"/>
        </w:rPr>
      </w:pPr>
      <w:bookmarkStart w:id="106" w:name="_Toc32571618"/>
      <w:bookmarkStart w:id="107" w:name="_Toc34836191"/>
      <w:bookmarkStart w:id="108" w:name="_Toc116304540"/>
      <w:r w:rsidRPr="00DF679D">
        <w:rPr>
          <w:rFonts w:cs="Calibri Light"/>
        </w:rPr>
        <w:t>Polityka informacyjna</w:t>
      </w:r>
      <w:bookmarkEnd w:id="106"/>
      <w:bookmarkEnd w:id="107"/>
      <w:bookmarkEnd w:id="108"/>
    </w:p>
    <w:p w:rsidR="003D31E2" w:rsidRPr="007765E1" w:rsidRDefault="003D31E2" w:rsidP="00312F6A">
      <w:pPr>
        <w:spacing w:after="0"/>
      </w:pPr>
      <w:r w:rsidRPr="007765E1">
        <w:t xml:space="preserve">W III kwartale 2022 r. Fundusz prowadził przygotowania do procesu komunikacji w zakresie przymusowej restrukturyzacji Getin Noble Bank S.A. W dniu 30 września </w:t>
      </w:r>
      <w:r>
        <w:t xml:space="preserve">br. </w:t>
      </w:r>
      <w:r w:rsidRPr="007765E1">
        <w:t>przeprowadzono zaplanowane działania, m.in. wypełniając ustawowe obowiązk</w:t>
      </w:r>
      <w:r>
        <w:t>i informacyjne. O przyczynach i </w:t>
      </w:r>
      <w:r w:rsidRPr="007765E1">
        <w:t xml:space="preserve">skutkach przymusowej restrukturyzacji poinformowano klientów Banku za pośrednictwem stron internetowych Banku i BFG, a także poprzez materiały przygotowane dla pracowników Banku obsługujących infolinię, chat i media społecznościowe. Fundusz przygotował również materiały dla pracowników GNB odpowiedzialnych za komunikację wewnętrzną i zewnętrzną. Fundusz był także w bieżącym kontakcie z kluczowymi dziennikarzami i intensywnie monitorował media pod kątem odbioru społecznego wszczętego procesu. </w:t>
      </w:r>
    </w:p>
    <w:p w:rsidR="00A5399D" w:rsidRPr="00A5399D" w:rsidRDefault="00A5399D" w:rsidP="00312F6A">
      <w:pPr>
        <w:keepNext/>
        <w:spacing w:before="120" w:after="120"/>
        <w:outlineLvl w:val="3"/>
        <w:rPr>
          <w:rFonts w:eastAsia="Times New Roman" w:cs="Calibri Light"/>
          <w:bCs/>
          <w:i/>
          <w:szCs w:val="28"/>
          <w:u w:val="single"/>
        </w:rPr>
      </w:pPr>
      <w:r w:rsidRPr="00A5399D">
        <w:rPr>
          <w:rFonts w:eastAsia="Times New Roman" w:cs="Calibri Light"/>
          <w:bCs/>
          <w:i/>
          <w:szCs w:val="28"/>
          <w:u w:val="single"/>
        </w:rPr>
        <w:t>Strona internetowa</w:t>
      </w:r>
    </w:p>
    <w:p w:rsidR="00A5399D" w:rsidRPr="000F3FD6" w:rsidRDefault="00A5399D" w:rsidP="00A5399D">
      <w:pPr>
        <w:spacing w:after="120"/>
      </w:pPr>
      <w:r w:rsidRPr="000F3FD6">
        <w:t>Na stronie internetowej Funduszu publikowano aktualne informacje dotyczące działalności BFG.</w:t>
      </w:r>
    </w:p>
    <w:p w:rsidR="00A5399D" w:rsidRPr="000F3FD6" w:rsidRDefault="00A5399D" w:rsidP="00312F6A">
      <w:pPr>
        <w:spacing w:after="0"/>
      </w:pPr>
      <w:r w:rsidRPr="000F3FD6">
        <w:t xml:space="preserve">W okresie sprawozdawczym największa dzienna liczba wejść na stronę </w:t>
      </w:r>
      <w:r>
        <w:t>internetową Funduszu wynosiła 13</w:t>
      </w:r>
      <w:r w:rsidR="002361F6">
        <w:t> </w:t>
      </w:r>
      <w:r>
        <w:t>156</w:t>
      </w:r>
      <w:r w:rsidR="002361F6">
        <w:rPr>
          <w:rStyle w:val="Odwoanieprzypisudolnego"/>
        </w:rPr>
        <w:t xml:space="preserve"> </w:t>
      </w:r>
      <w:r w:rsidR="002361F6">
        <w:t>(w dniu 30 września 2022 r.)</w:t>
      </w:r>
      <w:r>
        <w:t xml:space="preserve"> </w:t>
      </w:r>
      <w:r w:rsidRPr="000F3FD6">
        <w:t>zaś w całym kwartale odnotowano łącznie około 6</w:t>
      </w:r>
      <w:r>
        <w:t>4</w:t>
      </w:r>
      <w:r w:rsidRPr="000F3FD6">
        <w:t>,</w:t>
      </w:r>
      <w:r>
        <w:t>6</w:t>
      </w:r>
      <w:r w:rsidR="002361F6">
        <w:t> </w:t>
      </w:r>
      <w:r w:rsidRPr="000F3FD6">
        <w:t>tys. odwiedzin.</w:t>
      </w:r>
      <w:r>
        <w:t xml:space="preserve"> Zwiększona liczba wejść na stronę internetową związana była z wszczęciem przez BFG przymusowej restrukturyzacji Getin Noble Banku S.A.</w:t>
      </w:r>
    </w:p>
    <w:p w:rsidR="00A5399D" w:rsidRPr="00A5399D" w:rsidRDefault="00A5399D" w:rsidP="00312F6A">
      <w:pPr>
        <w:keepNext/>
        <w:spacing w:before="120" w:after="120"/>
        <w:outlineLvl w:val="3"/>
        <w:rPr>
          <w:rFonts w:eastAsia="Times New Roman" w:cs="Calibri Light"/>
          <w:bCs/>
          <w:i/>
          <w:szCs w:val="28"/>
          <w:u w:val="single"/>
        </w:rPr>
      </w:pPr>
      <w:r w:rsidRPr="00A5399D">
        <w:rPr>
          <w:rFonts w:eastAsia="Times New Roman" w:cs="Calibri Light"/>
          <w:bCs/>
          <w:i/>
          <w:szCs w:val="28"/>
          <w:u w:val="single"/>
        </w:rPr>
        <w:t>Infolinia BFG</w:t>
      </w:r>
    </w:p>
    <w:p w:rsidR="00A5399D" w:rsidRPr="000F3FD6" w:rsidRDefault="00A5399D" w:rsidP="00326215">
      <w:pPr>
        <w:spacing w:after="120"/>
      </w:pPr>
      <w:r w:rsidRPr="000F3FD6">
        <w:t>W okresie sprawozdawczym odnotowano istotne zainteresowanie klientów informacjami pozyskiwanymi bezpośrednio z Funduszu (największa liczba dziennych po</w:t>
      </w:r>
      <w:r>
        <w:t>łączeń telefonicznych wyniosła 28</w:t>
      </w:r>
      <w:r w:rsidRPr="000F3FD6">
        <w:t>). Łącznie w okresie sprawozdawczym pracownicy BFG obsługujący infolinię udzielili odpowiedzi na około 1,</w:t>
      </w:r>
      <w:r>
        <w:t>3</w:t>
      </w:r>
      <w:r w:rsidRPr="000F3FD6">
        <w:t xml:space="preserve"> tys. zapytań. Zapytania klientów dotyczyły przede wszystkim zakresu gwarancji w bankach i kasach, arkuszy informacyjnych otrzymywanych przez klientów od banków i kas oraz zasad wypłaty środków gwarantowanych dla deponentów banków i kas, dla których nastąpiło spełnienie warunku gwarancji.</w:t>
      </w:r>
    </w:p>
    <w:p w:rsidR="00A5399D" w:rsidRDefault="00A5399D" w:rsidP="006F4221">
      <w:pPr>
        <w:spacing w:after="120"/>
      </w:pPr>
      <w:r w:rsidRPr="000F3FD6">
        <w:t>Udzielano także odpowiedzi na kierowane do BFG pisemne zapytania dotyczące m.in. gwarancji dla deponentów banków lub kas.</w:t>
      </w:r>
    </w:p>
    <w:p w:rsidR="00312F6A" w:rsidRPr="00D50AEF" w:rsidRDefault="00312F6A"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 xml:space="preserve">Publikacje Funduszu </w:t>
      </w:r>
    </w:p>
    <w:p w:rsidR="00312F6A" w:rsidRDefault="00312F6A" w:rsidP="00326215">
      <w:pPr>
        <w:spacing w:before="120" w:after="0"/>
      </w:pPr>
      <w:r w:rsidRPr="00972775">
        <w:t>W II</w:t>
      </w:r>
      <w:r>
        <w:t>I</w:t>
      </w:r>
      <w:r w:rsidRPr="00972775">
        <w:t xml:space="preserve"> kw</w:t>
      </w:r>
      <w:r w:rsidR="00326215">
        <w:t>artale</w:t>
      </w:r>
      <w:r w:rsidRPr="00972775">
        <w:t xml:space="preserve"> 2022 r. wydano kolejny numery czasopisma </w:t>
      </w:r>
      <w:r w:rsidRPr="00326215">
        <w:rPr>
          <w:i/>
        </w:rPr>
        <w:t>Bezpieczny Bank</w:t>
      </w:r>
      <w:r w:rsidR="00326215">
        <w:rPr>
          <w:i/>
        </w:rPr>
        <w:t xml:space="preserve"> </w:t>
      </w:r>
      <w:r w:rsidRPr="00972775">
        <w:t>(</w:t>
      </w:r>
      <w:r>
        <w:t>2</w:t>
      </w:r>
      <w:r w:rsidRPr="00972775">
        <w:t>/8</w:t>
      </w:r>
      <w:r>
        <w:t>7</w:t>
      </w:r>
      <w:r w:rsidRPr="00972775">
        <w:t>/2022</w:t>
      </w:r>
      <w:r>
        <w:t xml:space="preserve">), poświęcony prawnym zagadnieniom sektora finansowego. </w:t>
      </w:r>
      <w:r w:rsidRPr="00DD71D4">
        <w:t xml:space="preserve">Autorami </w:t>
      </w:r>
      <w:r>
        <w:t xml:space="preserve">dziewięciu artykułów </w:t>
      </w:r>
      <w:r w:rsidRPr="00DD71D4">
        <w:t xml:space="preserve">w tym numerze </w:t>
      </w:r>
      <w:r>
        <w:t xml:space="preserve">byli </w:t>
      </w:r>
      <w:r w:rsidRPr="00DD71D4">
        <w:t>przedstawiciele środowisk akademickich i praktycy prawa, czerpiący wiedzę i doświadczenie z wieloletniego stosowania przepisów, czy to z pozycji podmiotów komercyjnych sektora finansowego, czy też z perspektywy instytucji publicznych odpowiedzialnych za nadzór i dialog z tym sektorem.</w:t>
      </w:r>
    </w:p>
    <w:p w:rsidR="00312F6A" w:rsidRPr="00D50AEF" w:rsidRDefault="00312F6A"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Konkurs BFG</w:t>
      </w:r>
    </w:p>
    <w:p w:rsidR="00312F6A" w:rsidRDefault="00312F6A" w:rsidP="00326215">
      <w:pPr>
        <w:spacing w:before="120" w:after="120"/>
      </w:pPr>
      <w:r>
        <w:t xml:space="preserve">1 lipca 2022 r. w siedzibie Funduszu odbyło się uroczyste wręczenie nagród laureatom Konkursu BFG na </w:t>
      </w:r>
      <w:r w:rsidRPr="00484488">
        <w:t>najlepsze prace licencjackie, magisterskie i doktorskie z zakresu problematyki stabilności systemu finansowego obronione w roku 2021.</w:t>
      </w:r>
      <w:r w:rsidR="005A6833">
        <w:t xml:space="preserve"> </w:t>
      </w:r>
      <w:r>
        <w:t>W uroczystości wzięli udział nagrodzeni, ich promotorzy, członkowie jury, członkowie Zarządu i dyrektorzy BFG. 25</w:t>
      </w:r>
      <w:r w:rsidR="00326215">
        <w:t xml:space="preserve"> sierpnia </w:t>
      </w:r>
      <w:r>
        <w:t xml:space="preserve">2022 r. ogłoszono kolejną edycje Konkursu BFG. </w:t>
      </w:r>
    </w:p>
    <w:p w:rsidR="00312F6A" w:rsidRPr="00D50AEF" w:rsidRDefault="00312F6A" w:rsidP="00D50AEF">
      <w:pPr>
        <w:keepNext/>
        <w:spacing w:before="120" w:after="120"/>
        <w:outlineLvl w:val="3"/>
        <w:rPr>
          <w:rFonts w:eastAsia="Times New Roman" w:cs="Calibri Light"/>
          <w:bCs/>
          <w:i/>
          <w:szCs w:val="28"/>
          <w:u w:val="single"/>
        </w:rPr>
      </w:pPr>
      <w:r w:rsidRPr="00D50AEF">
        <w:rPr>
          <w:rFonts w:eastAsia="Times New Roman" w:cs="Calibri Light"/>
          <w:bCs/>
          <w:i/>
          <w:szCs w:val="28"/>
          <w:u w:val="single"/>
        </w:rPr>
        <w:t>Pozostałe działania</w:t>
      </w:r>
    </w:p>
    <w:p w:rsidR="00312F6A" w:rsidRPr="00326215" w:rsidRDefault="00312F6A" w:rsidP="00326215">
      <w:pPr>
        <w:spacing w:before="120" w:after="120"/>
        <w:rPr>
          <w:i/>
        </w:rPr>
      </w:pPr>
      <w:r>
        <w:t>W III kwartale br. kontynuowano prace nad poprawą dostępności strony internetowej Funduszu pod kątem jej dostępności cyfrowej</w:t>
      </w:r>
      <w:r w:rsidR="005A6833">
        <w:t xml:space="preserve"> </w:t>
      </w:r>
      <w:r>
        <w:t xml:space="preserve">(WCAG) i zgodności z </w:t>
      </w:r>
      <w:r w:rsidRPr="00326215">
        <w:rPr>
          <w:i/>
        </w:rPr>
        <w:t xml:space="preserve">ustawą z </w:t>
      </w:r>
      <w:r w:rsidR="00326215" w:rsidRPr="00326215">
        <w:rPr>
          <w:i/>
        </w:rPr>
        <w:t xml:space="preserve">dnia </w:t>
      </w:r>
      <w:r w:rsidRPr="00326215">
        <w:rPr>
          <w:i/>
        </w:rPr>
        <w:t>4</w:t>
      </w:r>
      <w:r w:rsidR="00326215" w:rsidRPr="00326215">
        <w:rPr>
          <w:i/>
        </w:rPr>
        <w:t xml:space="preserve"> kwietnia </w:t>
      </w:r>
      <w:r w:rsidR="00A47C0E">
        <w:rPr>
          <w:i/>
        </w:rPr>
        <w:t>2019 </w:t>
      </w:r>
      <w:r w:rsidRPr="00326215">
        <w:rPr>
          <w:i/>
        </w:rPr>
        <w:t xml:space="preserve">r. o dostępności cyfrowej stron internetowych. </w:t>
      </w:r>
    </w:p>
    <w:p w:rsidR="00312F6A" w:rsidRDefault="00312F6A" w:rsidP="00312F6A">
      <w:pPr>
        <w:spacing w:before="120"/>
      </w:pPr>
      <w:r>
        <w:t>Na stronie internetowej Funduszu zamieszczano bieżące informacje, m.in. dotyczące metodyki MREL.</w:t>
      </w:r>
    </w:p>
    <w:p w:rsidR="00312F6A" w:rsidRDefault="00312F6A" w:rsidP="00312F6A">
      <w:pPr>
        <w:spacing w:before="120"/>
      </w:pPr>
      <w:r>
        <w:t xml:space="preserve"> W okresie sprawozdawczym Fundusz wysyłał do banków materiały informacyjne dotyczące systemu gwarantowania depozytów (tabliczki).</w:t>
      </w:r>
    </w:p>
    <w:p w:rsidR="0076523D" w:rsidRDefault="00241B49" w:rsidP="008004CF">
      <w:pPr>
        <w:pStyle w:val="Nagwek2"/>
        <w:numPr>
          <w:ilvl w:val="0"/>
          <w:numId w:val="5"/>
        </w:numPr>
        <w:spacing w:before="240" w:after="0"/>
        <w:ind w:left="714" w:hanging="357"/>
        <w:rPr>
          <w:rFonts w:cs="Calibri Light"/>
        </w:rPr>
      </w:pPr>
      <w:bookmarkStart w:id="109" w:name="_Toc32571619"/>
      <w:bookmarkStart w:id="110" w:name="_Toc34836192"/>
      <w:r w:rsidRPr="00DF679D">
        <w:rPr>
          <w:rFonts w:cs="Calibri Light"/>
        </w:rPr>
        <w:t xml:space="preserve"> </w:t>
      </w:r>
      <w:bookmarkStart w:id="111" w:name="_Toc116304541"/>
      <w:r w:rsidR="0076523D" w:rsidRPr="00DF679D">
        <w:rPr>
          <w:rFonts w:cs="Calibri Light"/>
        </w:rPr>
        <w:t>Zarządzanie zasobami ludzkimi</w:t>
      </w:r>
      <w:bookmarkEnd w:id="109"/>
      <w:bookmarkEnd w:id="110"/>
      <w:bookmarkEnd w:id="111"/>
    </w:p>
    <w:p w:rsidR="00CF11B2" w:rsidRPr="00B36D5D" w:rsidRDefault="00CF11B2" w:rsidP="00CF11B2">
      <w:pPr>
        <w:spacing w:before="200" w:after="120"/>
        <w:rPr>
          <w:rFonts w:eastAsia="Times New Roman" w:cs="Calibri Light"/>
        </w:rPr>
      </w:pPr>
      <w:r>
        <w:rPr>
          <w:rFonts w:eastAsia="Times New Roman" w:cs="Calibri Light"/>
        </w:rPr>
        <w:t xml:space="preserve">Na dzień 30 września 2022 r. stan zatrudnienia w </w:t>
      </w:r>
      <w:r w:rsidRPr="00B36D5D">
        <w:rPr>
          <w:rFonts w:eastAsia="Times New Roman" w:cs="Calibri Light"/>
        </w:rPr>
        <w:t>Bankowy</w:t>
      </w:r>
      <w:r>
        <w:rPr>
          <w:rFonts w:eastAsia="Times New Roman" w:cs="Calibri Light"/>
        </w:rPr>
        <w:t>m</w:t>
      </w:r>
      <w:r w:rsidRPr="00B36D5D">
        <w:rPr>
          <w:rFonts w:eastAsia="Times New Roman" w:cs="Calibri Light"/>
        </w:rPr>
        <w:t xml:space="preserve"> Fundusz</w:t>
      </w:r>
      <w:r>
        <w:rPr>
          <w:rFonts w:eastAsia="Times New Roman" w:cs="Calibri Light"/>
        </w:rPr>
        <w:t>u</w:t>
      </w:r>
      <w:r w:rsidRPr="00B36D5D">
        <w:rPr>
          <w:rFonts w:eastAsia="Times New Roman" w:cs="Calibri Light"/>
        </w:rPr>
        <w:t xml:space="preserve"> Gwarancyjny</w:t>
      </w:r>
      <w:r>
        <w:rPr>
          <w:rFonts w:eastAsia="Times New Roman" w:cs="Calibri Light"/>
        </w:rPr>
        <w:t xml:space="preserve">m wynosił 233 </w:t>
      </w:r>
      <w:r w:rsidRPr="00B36D5D">
        <w:rPr>
          <w:rFonts w:eastAsia="Times New Roman" w:cs="Calibri Light"/>
        </w:rPr>
        <w:t>os</w:t>
      </w:r>
      <w:r>
        <w:rPr>
          <w:rFonts w:eastAsia="Times New Roman" w:cs="Calibri Light"/>
        </w:rPr>
        <w:t>oby</w:t>
      </w:r>
      <w:r w:rsidRPr="00B36D5D">
        <w:rPr>
          <w:rFonts w:eastAsia="Times New Roman" w:cs="Calibri Light"/>
        </w:rPr>
        <w:t xml:space="preserve"> (23</w:t>
      </w:r>
      <w:r>
        <w:rPr>
          <w:rFonts w:eastAsia="Times New Roman" w:cs="Calibri Light"/>
        </w:rPr>
        <w:t>1</w:t>
      </w:r>
      <w:r w:rsidRPr="00B36D5D">
        <w:rPr>
          <w:rFonts w:eastAsia="Times New Roman" w:cs="Calibri Light"/>
        </w:rPr>
        <w:t>,</w:t>
      </w:r>
      <w:r>
        <w:rPr>
          <w:rFonts w:eastAsia="Times New Roman" w:cs="Calibri Light"/>
        </w:rPr>
        <w:t>3</w:t>
      </w:r>
      <w:r w:rsidRPr="00B36D5D">
        <w:rPr>
          <w:rFonts w:eastAsia="Times New Roman" w:cs="Calibri Light"/>
        </w:rPr>
        <w:t xml:space="preserve"> etatu), w tym:</w:t>
      </w:r>
    </w:p>
    <w:p w:rsidR="00CF11B2" w:rsidRPr="00AC74D5" w:rsidRDefault="00CF11B2" w:rsidP="008004CF">
      <w:pPr>
        <w:pStyle w:val="Akapitzlist"/>
        <w:numPr>
          <w:ilvl w:val="0"/>
          <w:numId w:val="29"/>
        </w:numPr>
        <w:spacing w:before="120" w:after="120"/>
        <w:ind w:left="714" w:hanging="357"/>
        <w:rPr>
          <w:rFonts w:cs="Calibri Light"/>
        </w:rPr>
      </w:pPr>
      <w:r w:rsidRPr="00AC74D5">
        <w:rPr>
          <w:rFonts w:cs="Calibri Light"/>
        </w:rPr>
        <w:t xml:space="preserve">członkowie Zarządu Funduszu – 4 osoby (4 etaty); </w:t>
      </w:r>
    </w:p>
    <w:p w:rsidR="00CF11B2" w:rsidRPr="002817B3" w:rsidRDefault="00CF11B2" w:rsidP="008004CF">
      <w:pPr>
        <w:pStyle w:val="Akapitzlist"/>
        <w:numPr>
          <w:ilvl w:val="0"/>
          <w:numId w:val="29"/>
        </w:numPr>
        <w:spacing w:before="120" w:after="120"/>
        <w:ind w:left="714" w:hanging="357"/>
        <w:rPr>
          <w:rFonts w:cs="Calibri Light"/>
        </w:rPr>
      </w:pPr>
      <w:r w:rsidRPr="002817B3">
        <w:rPr>
          <w:rFonts w:cs="Calibri Light"/>
        </w:rPr>
        <w:t>pracownicy Biura Funduszu – 2</w:t>
      </w:r>
      <w:r>
        <w:rPr>
          <w:rFonts w:cs="Calibri Light"/>
        </w:rPr>
        <w:t>29</w:t>
      </w:r>
      <w:r w:rsidRPr="002817B3">
        <w:rPr>
          <w:rFonts w:cs="Calibri Light"/>
        </w:rPr>
        <w:t xml:space="preserve"> osoby (22</w:t>
      </w:r>
      <w:r>
        <w:rPr>
          <w:rFonts w:cs="Calibri Light"/>
        </w:rPr>
        <w:t>7</w:t>
      </w:r>
      <w:r w:rsidRPr="002817B3">
        <w:rPr>
          <w:rFonts w:cs="Calibri Light"/>
        </w:rPr>
        <w:t>, 3 etatu).</w:t>
      </w:r>
    </w:p>
    <w:p w:rsidR="00CF11B2" w:rsidRPr="00B36D5D" w:rsidRDefault="00CF11B2" w:rsidP="00C927D8">
      <w:pPr>
        <w:widowControl w:val="0"/>
        <w:tabs>
          <w:tab w:val="left" w:pos="720"/>
        </w:tabs>
        <w:spacing w:after="120"/>
        <w:rPr>
          <w:rFonts w:eastAsia="Times New Roman" w:cs="Calibri Light"/>
        </w:rPr>
      </w:pPr>
      <w:r w:rsidRPr="00B36D5D">
        <w:rPr>
          <w:rFonts w:eastAsia="Times New Roman" w:cs="Calibri Light"/>
        </w:rPr>
        <w:t xml:space="preserve">W okresie sprawozdawczym: </w:t>
      </w:r>
    </w:p>
    <w:p w:rsidR="00CF11B2" w:rsidRPr="00A651E4" w:rsidRDefault="00CF11B2" w:rsidP="008004CF">
      <w:pPr>
        <w:pStyle w:val="Akapitzlist"/>
        <w:numPr>
          <w:ilvl w:val="0"/>
          <w:numId w:val="30"/>
        </w:numPr>
        <w:autoSpaceDE w:val="0"/>
        <w:autoSpaceDN w:val="0"/>
        <w:spacing w:after="0"/>
        <w:rPr>
          <w:rFonts w:cs="Calibri Light"/>
          <w:color w:val="000000"/>
          <w:lang w:eastAsia="en-GB"/>
        </w:rPr>
      </w:pPr>
      <w:r w:rsidRPr="002817B3">
        <w:rPr>
          <w:rFonts w:cs="Calibri Light"/>
        </w:rPr>
        <w:t xml:space="preserve">zatrudniono </w:t>
      </w:r>
      <w:r>
        <w:rPr>
          <w:rFonts w:cs="Calibri Light"/>
        </w:rPr>
        <w:t>9</w:t>
      </w:r>
      <w:r w:rsidRPr="002817B3">
        <w:rPr>
          <w:rFonts w:cs="Calibri Light"/>
        </w:rPr>
        <w:t xml:space="preserve"> osób (</w:t>
      </w:r>
      <w:r>
        <w:rPr>
          <w:rFonts w:cs="Calibri Light"/>
        </w:rPr>
        <w:t>8,5</w:t>
      </w:r>
      <w:r w:rsidRPr="002817B3">
        <w:rPr>
          <w:rFonts w:cs="Calibri Light"/>
        </w:rPr>
        <w:t xml:space="preserve"> etatów) w tym:</w:t>
      </w:r>
      <w:r w:rsidRPr="002817B3">
        <w:rPr>
          <w:rFonts w:cs="Calibri Light"/>
          <w:color w:val="000000"/>
          <w:lang w:eastAsia="en-GB"/>
        </w:rPr>
        <w:t xml:space="preserve"> </w:t>
      </w:r>
      <w:r>
        <w:rPr>
          <w:rFonts w:cs="Calibri Light"/>
          <w:color w:val="000000"/>
          <w:lang w:eastAsia="en-GB"/>
        </w:rPr>
        <w:t xml:space="preserve">2 osoby w </w:t>
      </w:r>
      <w:r w:rsidRPr="00957ECA">
        <w:t>Departamencie Planowania Przymusowej Restrukturyzacji</w:t>
      </w:r>
      <w:r>
        <w:t>, 2 osoby w</w:t>
      </w:r>
      <w:r w:rsidR="00C927D8">
        <w:t xml:space="preserve"> Departamencie Projektów Systemu Finansowego</w:t>
      </w:r>
      <w:r>
        <w:t xml:space="preserve"> </w:t>
      </w:r>
      <w:r w:rsidR="00C927D8">
        <w:t>oraz po 1 osobie w</w:t>
      </w:r>
      <w:r w:rsidR="00A651E4">
        <w:t>:</w:t>
      </w:r>
      <w:r w:rsidR="00C927D8">
        <w:t xml:space="preserve"> </w:t>
      </w:r>
      <w:r w:rsidR="00A651E4">
        <w:t xml:space="preserve">Departamencie Administracji i Zamówień, Departamencie Bezpieczeństwa, Departamencie Informatyki, Departamencie </w:t>
      </w:r>
      <w:r w:rsidR="00A651E4" w:rsidRPr="00957ECA">
        <w:t>Analiz i Wczesnego Ostrzegania</w:t>
      </w:r>
      <w:r w:rsidR="00A651E4">
        <w:t>, Departamencie Rachunkowości,</w:t>
      </w:r>
    </w:p>
    <w:p w:rsidR="00A651E4" w:rsidRDefault="00CF11B2" w:rsidP="008004CF">
      <w:pPr>
        <w:pStyle w:val="Akapitzlist"/>
        <w:numPr>
          <w:ilvl w:val="0"/>
          <w:numId w:val="30"/>
        </w:numPr>
        <w:autoSpaceDE w:val="0"/>
        <w:autoSpaceDN w:val="0"/>
        <w:spacing w:after="0"/>
        <w:rPr>
          <w:rFonts w:cs="Calibri Light"/>
          <w:color w:val="000000"/>
          <w:lang w:eastAsia="en-GB"/>
        </w:rPr>
      </w:pPr>
      <w:r>
        <w:rPr>
          <w:rFonts w:cs="Calibri Light"/>
          <w:color w:val="000000"/>
          <w:lang w:eastAsia="en-GB"/>
        </w:rPr>
        <w:t xml:space="preserve">z </w:t>
      </w:r>
      <w:r w:rsidR="00A651E4">
        <w:rPr>
          <w:rFonts w:cs="Calibri Light"/>
          <w:color w:val="000000"/>
          <w:lang w:eastAsia="en-GB"/>
        </w:rPr>
        <w:t>7</w:t>
      </w:r>
      <w:r w:rsidRPr="00933523">
        <w:rPr>
          <w:rFonts w:cs="Calibri Light"/>
          <w:color w:val="000000"/>
          <w:lang w:eastAsia="en-GB"/>
        </w:rPr>
        <w:t xml:space="preserve"> osobami </w:t>
      </w:r>
      <w:r>
        <w:rPr>
          <w:rFonts w:cs="Calibri Light"/>
          <w:color w:val="000000"/>
          <w:lang w:eastAsia="en-GB"/>
        </w:rPr>
        <w:t>(</w:t>
      </w:r>
      <w:r w:rsidR="00A651E4">
        <w:rPr>
          <w:rFonts w:cs="Calibri Light"/>
          <w:color w:val="000000"/>
          <w:lang w:eastAsia="en-GB"/>
        </w:rPr>
        <w:t>6,875</w:t>
      </w:r>
      <w:r w:rsidRPr="00933523">
        <w:rPr>
          <w:rFonts w:cs="Calibri Light"/>
          <w:color w:val="000000"/>
          <w:lang w:eastAsia="en-GB"/>
        </w:rPr>
        <w:t xml:space="preserve"> etatów) um</w:t>
      </w:r>
      <w:r>
        <w:rPr>
          <w:rFonts w:cs="Calibri Light"/>
          <w:color w:val="000000"/>
          <w:lang w:eastAsia="en-GB"/>
        </w:rPr>
        <w:t>owy o pracę uległy rozwiązaniu, w tym z: 2 osobami w </w:t>
      </w:r>
      <w:r w:rsidR="00A651E4" w:rsidRPr="00957ECA">
        <w:t>Departamencie Planowania Przymusowej Restrukturyzacji</w:t>
      </w:r>
      <w:r w:rsidR="00A651E4">
        <w:t xml:space="preserve">, 2 osobami w Departamencie Administracji i Zamówień oraz po 1 osobie w: Departamencie </w:t>
      </w:r>
      <w:r w:rsidR="00A651E4" w:rsidRPr="00957ECA">
        <w:t>Analiz i Wczesnego Ostrzegania</w:t>
      </w:r>
      <w:r w:rsidR="00A651E4">
        <w:t xml:space="preserve">, Biurze Ryzyka i Zgodności, Departamencie Informatyki. </w:t>
      </w:r>
    </w:p>
    <w:p w:rsidR="00CF11B2" w:rsidRPr="00C65BD8" w:rsidRDefault="00CF11B2" w:rsidP="008004CF">
      <w:pPr>
        <w:pStyle w:val="Akapitzlist"/>
        <w:numPr>
          <w:ilvl w:val="0"/>
          <w:numId w:val="30"/>
        </w:numPr>
        <w:autoSpaceDE w:val="0"/>
        <w:autoSpaceDN w:val="0"/>
        <w:spacing w:after="120"/>
        <w:ind w:left="714" w:hanging="357"/>
        <w:contextualSpacing w:val="0"/>
        <w:rPr>
          <w:rFonts w:cs="Calibri Light"/>
          <w:color w:val="000000"/>
          <w:lang w:eastAsia="en-GB"/>
        </w:rPr>
      </w:pPr>
      <w:r w:rsidRPr="00BB3717">
        <w:rPr>
          <w:rFonts w:cs="Calibri Light"/>
          <w:lang w:eastAsia="en-GB"/>
        </w:rPr>
        <w:t xml:space="preserve">z </w:t>
      </w:r>
      <w:r w:rsidR="00A651E4">
        <w:rPr>
          <w:rFonts w:cs="Calibri Light"/>
          <w:lang w:eastAsia="en-GB"/>
        </w:rPr>
        <w:t>6</w:t>
      </w:r>
      <w:r w:rsidRPr="00BB3717">
        <w:rPr>
          <w:rFonts w:cs="Calibri Light"/>
          <w:lang w:eastAsia="en-GB"/>
        </w:rPr>
        <w:t xml:space="preserve"> kandydatami uzgodniono warunki i termin rozpoczęcia pracy w I</w:t>
      </w:r>
      <w:r w:rsidR="00A651E4">
        <w:rPr>
          <w:rFonts w:cs="Calibri Light"/>
          <w:lang w:eastAsia="en-GB"/>
        </w:rPr>
        <w:t>V</w:t>
      </w:r>
      <w:r w:rsidRPr="00BB3717">
        <w:rPr>
          <w:rFonts w:cs="Calibri Light"/>
          <w:lang w:eastAsia="en-GB"/>
        </w:rPr>
        <w:t xml:space="preserve"> kw</w:t>
      </w:r>
      <w:r>
        <w:rPr>
          <w:rFonts w:cs="Calibri Light"/>
          <w:lang w:eastAsia="en-GB"/>
        </w:rPr>
        <w:t>artale</w:t>
      </w:r>
      <w:r w:rsidRPr="00BB3717">
        <w:rPr>
          <w:rFonts w:cs="Calibri Light"/>
          <w:lang w:eastAsia="en-GB"/>
        </w:rPr>
        <w:t xml:space="preserve"> 2022 r.</w:t>
      </w:r>
    </w:p>
    <w:p w:rsidR="00C65BD8" w:rsidRPr="00D54111" w:rsidRDefault="00C65BD8" w:rsidP="00C65BD8">
      <w:pPr>
        <w:spacing w:after="120"/>
        <w:rPr>
          <w:rFonts w:cs="Calibri Light"/>
          <w:b/>
        </w:rPr>
      </w:pPr>
      <w:r w:rsidRPr="00C65BD8">
        <w:rPr>
          <w:i/>
          <w:u w:val="single"/>
        </w:rPr>
        <w:t>Szkolenia i inne działania</w:t>
      </w:r>
    </w:p>
    <w:p w:rsidR="00C65BD8" w:rsidRPr="00D54111" w:rsidRDefault="00C65BD8" w:rsidP="00C65BD8">
      <w:pPr>
        <w:pStyle w:val="Akapitzlist"/>
        <w:autoSpaceDE w:val="0"/>
        <w:autoSpaceDN w:val="0"/>
        <w:spacing w:after="120"/>
        <w:ind w:left="0"/>
        <w:rPr>
          <w:rFonts w:cs="Calibri Light"/>
        </w:rPr>
      </w:pPr>
      <w:r w:rsidRPr="00D54111">
        <w:rPr>
          <w:rFonts w:cs="Calibri Light"/>
        </w:rPr>
        <w:t>W III kwartale 2022 r. pracownicy BFG uczestniczyli w 18 szkoleniach i konferencjach dotyczących między innymi adekwatności kapitałowej, cyberbezpieczeństwa i nowoczesnych rozwiązań w obszarze bezpieczeństwa IT, zamówień publicznych, usług pokrewnych/atestacyjnych innych niż badanie sprawozdania finansowego, roszczeń cywilnoprawnych w procesie windykacji, prawa bilansowego,</w:t>
      </w:r>
      <w:r w:rsidR="005A6833">
        <w:rPr>
          <w:rFonts w:cs="Calibri Light"/>
        </w:rPr>
        <w:t xml:space="preserve"> </w:t>
      </w:r>
      <w:r w:rsidRPr="00D54111">
        <w:rPr>
          <w:rFonts w:cs="Calibri Light"/>
        </w:rPr>
        <w:t>elektronicznego zarządzania dokumentacja</w:t>
      </w:r>
      <w:r>
        <w:rPr>
          <w:rFonts w:cs="Calibri Light"/>
        </w:rPr>
        <w:t xml:space="preserve"> oraz </w:t>
      </w:r>
      <w:r w:rsidRPr="00D54111">
        <w:rPr>
          <w:rFonts w:cs="Calibri Light"/>
        </w:rPr>
        <w:t xml:space="preserve">archiwizacji. </w:t>
      </w:r>
    </w:p>
    <w:p w:rsidR="009419DC" w:rsidRPr="00364011" w:rsidRDefault="00C65BD8" w:rsidP="00364011">
      <w:pPr>
        <w:widowControl w:val="0"/>
        <w:rPr>
          <w:rFonts w:cs="Calibri Light"/>
        </w:rPr>
      </w:pPr>
      <w:r w:rsidRPr="00D54111">
        <w:rPr>
          <w:rFonts w:cs="Calibri Light"/>
        </w:rPr>
        <w:t xml:space="preserve">Pracownicy Funduszu kontynuują uczestnictwo w Programie CIONET TRIBE, którego celem jest wymiana doświadczeń i wiedzy eksperckiej w dziedzinie systemów informatycznych, nowych technologii oraz sposobów zarządzania w obszarach IT, pozwalająca na sprawne projektowanie nowoczesnych rozwiązań technologicznych i organizacyjnych. </w:t>
      </w:r>
    </w:p>
    <w:p w:rsidR="0076523D" w:rsidRDefault="0076523D" w:rsidP="008004CF">
      <w:pPr>
        <w:pStyle w:val="Nagwek2"/>
        <w:numPr>
          <w:ilvl w:val="0"/>
          <w:numId w:val="5"/>
        </w:numPr>
        <w:spacing w:before="240" w:after="0"/>
        <w:rPr>
          <w:rFonts w:cs="Calibri Light"/>
        </w:rPr>
      </w:pPr>
      <w:bookmarkStart w:id="112" w:name="_Toc32571621"/>
      <w:bookmarkStart w:id="113" w:name="_Toc34836194"/>
      <w:r w:rsidRPr="00DF679D">
        <w:rPr>
          <w:rFonts w:cs="Calibri Light"/>
        </w:rPr>
        <w:t xml:space="preserve"> </w:t>
      </w:r>
      <w:bookmarkStart w:id="114" w:name="_Toc116304542"/>
      <w:r w:rsidRPr="00DF679D">
        <w:rPr>
          <w:rFonts w:cs="Calibri Light"/>
        </w:rPr>
        <w:t>Administracja i zamówienia publiczne</w:t>
      </w:r>
      <w:bookmarkEnd w:id="112"/>
      <w:bookmarkEnd w:id="113"/>
      <w:bookmarkEnd w:id="114"/>
    </w:p>
    <w:p w:rsidR="00F67EEF" w:rsidRPr="008135FA" w:rsidRDefault="00F67EEF" w:rsidP="008004CF">
      <w:pPr>
        <w:pStyle w:val="Nagwek3"/>
        <w:numPr>
          <w:ilvl w:val="1"/>
          <w:numId w:val="31"/>
        </w:numPr>
        <w:rPr>
          <w:sz w:val="24"/>
        </w:rPr>
      </w:pPr>
      <w:bookmarkStart w:id="115" w:name="_Toc116304543"/>
      <w:r w:rsidRPr="008135FA">
        <w:rPr>
          <w:sz w:val="24"/>
        </w:rPr>
        <w:t>Administracja</w:t>
      </w:r>
      <w:bookmarkEnd w:id="115"/>
    </w:p>
    <w:p w:rsidR="00F67EEF" w:rsidRPr="008135FA" w:rsidRDefault="00F67EEF" w:rsidP="001235E1">
      <w:pPr>
        <w:widowControl w:val="0"/>
        <w:spacing w:after="120"/>
        <w:rPr>
          <w:rFonts w:cs="Calibri Light"/>
        </w:rPr>
      </w:pPr>
      <w:r w:rsidRPr="008135FA">
        <w:rPr>
          <w:rFonts w:cs="Calibri Light"/>
        </w:rPr>
        <w:t xml:space="preserve">W okresie sprawozdawczym w obszarze administracji i zamówień publicznych zostały zrealizowane zadania w zakresie wsparcia administracyjnego, zarządzania budynkiem biurowym, obsługi kancelaryjno-archiwalnej oraz obsługi procesu udzielania zamówień publicznych w Funduszu, w tym m.in.: </w:t>
      </w:r>
    </w:p>
    <w:p w:rsidR="00F67EEF" w:rsidRDefault="00F67EEF" w:rsidP="008004CF">
      <w:pPr>
        <w:pStyle w:val="Akapitzlist"/>
        <w:widowControl w:val="0"/>
        <w:numPr>
          <w:ilvl w:val="0"/>
          <w:numId w:val="33"/>
        </w:numPr>
        <w:spacing w:before="120" w:after="0"/>
        <w:ind w:left="714" w:hanging="357"/>
        <w:rPr>
          <w:rFonts w:cs="Calibri Light"/>
        </w:rPr>
      </w:pPr>
      <w:r>
        <w:rPr>
          <w:rFonts w:cs="Calibri Light"/>
        </w:rPr>
        <w:t>zrealizowano prace projektowe polegające na oprac</w:t>
      </w:r>
      <w:r w:rsidR="001235E1">
        <w:rPr>
          <w:rFonts w:cs="Calibri Light"/>
        </w:rPr>
        <w:t>owaniu dokumentacji związanej z </w:t>
      </w:r>
      <w:r>
        <w:rPr>
          <w:rFonts w:cs="Calibri Light"/>
        </w:rPr>
        <w:t>remontem dachu budynku</w:t>
      </w:r>
      <w:r w:rsidR="001235E1">
        <w:rPr>
          <w:rFonts w:cs="Calibri Light"/>
        </w:rPr>
        <w:t>,</w:t>
      </w:r>
    </w:p>
    <w:p w:rsidR="00F67EEF" w:rsidRPr="009E23CB" w:rsidRDefault="00F67EEF" w:rsidP="008004CF">
      <w:pPr>
        <w:pStyle w:val="Akapitzlist"/>
        <w:widowControl w:val="0"/>
        <w:numPr>
          <w:ilvl w:val="0"/>
          <w:numId w:val="33"/>
        </w:numPr>
        <w:spacing w:before="120" w:after="0"/>
        <w:ind w:left="714" w:hanging="357"/>
        <w:rPr>
          <w:rFonts w:cs="Calibri Light"/>
        </w:rPr>
      </w:pPr>
      <w:r w:rsidRPr="009E23CB">
        <w:rPr>
          <w:rFonts w:cs="Calibri Light"/>
        </w:rPr>
        <w:t>zorganizowano cykl warsztatów dla pracowników Funduszu z obsługi funkcjonalności systemu elektroni</w:t>
      </w:r>
      <w:r w:rsidR="001235E1">
        <w:rPr>
          <w:rFonts w:cs="Calibri Light"/>
        </w:rPr>
        <w:t>cznego zarządzania dokumentacją,</w:t>
      </w:r>
    </w:p>
    <w:p w:rsidR="00F67EEF" w:rsidRPr="009E23CB" w:rsidRDefault="00F67EEF" w:rsidP="008004CF">
      <w:pPr>
        <w:pStyle w:val="Akapitzlist"/>
        <w:widowControl w:val="0"/>
        <w:numPr>
          <w:ilvl w:val="0"/>
          <w:numId w:val="33"/>
        </w:numPr>
        <w:spacing w:before="120" w:after="0"/>
        <w:ind w:left="714" w:hanging="357"/>
        <w:rPr>
          <w:rFonts w:cs="Calibri Light"/>
        </w:rPr>
      </w:pPr>
      <w:r>
        <w:rPr>
          <w:rFonts w:cs="Calibri Light"/>
        </w:rPr>
        <w:t>przygotowano i rozpoczęto proces uzyskiwania zgód od banków i kas na wymianę korespondencji za pomocą Elektronicznej Platformy Usług Ad</w:t>
      </w:r>
      <w:r w:rsidR="001235E1">
        <w:rPr>
          <w:rFonts w:cs="Calibri Light"/>
        </w:rPr>
        <w:t>ministracji Publicznej (ePUAP),</w:t>
      </w:r>
    </w:p>
    <w:p w:rsidR="00F67EEF" w:rsidRPr="00F52392" w:rsidRDefault="00F67EEF" w:rsidP="008004CF">
      <w:pPr>
        <w:pStyle w:val="Akapitzlist"/>
        <w:widowControl w:val="0"/>
        <w:numPr>
          <w:ilvl w:val="0"/>
          <w:numId w:val="33"/>
        </w:numPr>
        <w:spacing w:before="120" w:after="0"/>
        <w:ind w:left="714" w:hanging="357"/>
        <w:rPr>
          <w:rFonts w:cs="Calibri Light"/>
        </w:rPr>
      </w:pPr>
      <w:r w:rsidRPr="00F52392">
        <w:rPr>
          <w:rFonts w:cs="Calibri Light"/>
        </w:rPr>
        <w:t>kontynuowano prace związane z przygotowaniem Funduszu do wymagań ustawy o</w:t>
      </w:r>
      <w:r>
        <w:rPr>
          <w:rFonts w:cs="Calibri Light"/>
        </w:rPr>
        <w:t> </w:t>
      </w:r>
      <w:r w:rsidR="001235E1">
        <w:rPr>
          <w:rFonts w:cs="Calibri Light"/>
        </w:rPr>
        <w:t>doręczeniach elektronicznych,</w:t>
      </w:r>
    </w:p>
    <w:p w:rsidR="00F67EEF" w:rsidRPr="00F52392" w:rsidRDefault="00F67EEF" w:rsidP="008004CF">
      <w:pPr>
        <w:pStyle w:val="Akapitzlist"/>
        <w:widowControl w:val="0"/>
        <w:numPr>
          <w:ilvl w:val="0"/>
          <w:numId w:val="33"/>
        </w:numPr>
        <w:spacing w:before="120" w:after="0"/>
        <w:ind w:left="714" w:hanging="357"/>
        <w:rPr>
          <w:rFonts w:cs="Calibri Light"/>
        </w:rPr>
      </w:pPr>
      <w:r w:rsidRPr="00F52392">
        <w:rPr>
          <w:rFonts w:cs="Calibri Light"/>
        </w:rPr>
        <w:t>prowadzono prace archiwalne nad dokumentacją wytypowaną do ekspertyzy archiwalnej i brakowania, w porozumieniu z archiwum państwowym.</w:t>
      </w:r>
    </w:p>
    <w:p w:rsidR="00F67EEF" w:rsidRPr="008135FA" w:rsidRDefault="00F67EEF" w:rsidP="001235E1">
      <w:pPr>
        <w:pStyle w:val="Nagwek3"/>
        <w:numPr>
          <w:ilvl w:val="1"/>
          <w:numId w:val="31"/>
        </w:numPr>
        <w:ind w:left="839" w:hanging="482"/>
        <w:rPr>
          <w:sz w:val="24"/>
        </w:rPr>
      </w:pPr>
      <w:bookmarkStart w:id="116" w:name="_Toc116304544"/>
      <w:r w:rsidRPr="008135FA">
        <w:rPr>
          <w:sz w:val="24"/>
        </w:rPr>
        <w:t>Zamówienia publiczne</w:t>
      </w:r>
      <w:bookmarkEnd w:id="116"/>
      <w:r w:rsidRPr="008135FA">
        <w:rPr>
          <w:sz w:val="24"/>
        </w:rPr>
        <w:t xml:space="preserve"> </w:t>
      </w:r>
    </w:p>
    <w:p w:rsidR="00F67EEF" w:rsidRPr="005977CC" w:rsidRDefault="00F67EEF" w:rsidP="006956FA">
      <w:pPr>
        <w:spacing w:after="0"/>
        <w:ind w:left="357" w:firstLine="0"/>
        <w:rPr>
          <w:rFonts w:cs="Calibri Light"/>
        </w:rPr>
      </w:pPr>
      <w:r w:rsidRPr="005977CC">
        <w:rPr>
          <w:rFonts w:cs="Calibri Light"/>
        </w:rPr>
        <w:t xml:space="preserve">W </w:t>
      </w:r>
      <w:r>
        <w:rPr>
          <w:rFonts w:cs="Calibri Light"/>
        </w:rPr>
        <w:t xml:space="preserve">II kwartale 2022 r. w </w:t>
      </w:r>
      <w:r w:rsidRPr="005977CC">
        <w:rPr>
          <w:rFonts w:cs="Calibri Light"/>
        </w:rPr>
        <w:t xml:space="preserve">obszarze zamówień publicznych </w:t>
      </w:r>
      <w:r>
        <w:rPr>
          <w:rFonts w:cs="Calibri Light"/>
        </w:rPr>
        <w:t xml:space="preserve">zrealizowano następujące </w:t>
      </w:r>
      <w:r w:rsidRPr="005977CC">
        <w:rPr>
          <w:rFonts w:cs="Calibri Light"/>
        </w:rPr>
        <w:t>działania:</w:t>
      </w:r>
    </w:p>
    <w:p w:rsidR="00F67EEF" w:rsidRPr="005977CC" w:rsidRDefault="00F67EEF" w:rsidP="001235E1">
      <w:pPr>
        <w:pStyle w:val="Akapitzlist"/>
        <w:widowControl w:val="0"/>
        <w:numPr>
          <w:ilvl w:val="0"/>
          <w:numId w:val="33"/>
        </w:numPr>
        <w:spacing w:before="120" w:after="0"/>
        <w:ind w:left="714" w:hanging="357"/>
        <w:rPr>
          <w:rFonts w:cs="Calibri Light"/>
        </w:rPr>
      </w:pPr>
      <w:r w:rsidRPr="005977CC">
        <w:rPr>
          <w:rFonts w:cs="Calibri Light"/>
        </w:rPr>
        <w:t xml:space="preserve">opracowano </w:t>
      </w:r>
      <w:r>
        <w:rPr>
          <w:rFonts w:cs="Calibri Light"/>
        </w:rPr>
        <w:t xml:space="preserve">aktualizację </w:t>
      </w:r>
      <w:r w:rsidRPr="005977CC">
        <w:rPr>
          <w:rFonts w:cs="Calibri Light"/>
        </w:rPr>
        <w:t>Plan</w:t>
      </w:r>
      <w:r>
        <w:rPr>
          <w:rFonts w:cs="Calibri Light"/>
        </w:rPr>
        <w:t>u</w:t>
      </w:r>
      <w:r w:rsidRPr="005977CC">
        <w:rPr>
          <w:rFonts w:cs="Calibri Light"/>
        </w:rPr>
        <w:t xml:space="preserve"> zamówień oraz </w:t>
      </w:r>
      <w:r>
        <w:rPr>
          <w:rFonts w:cs="Calibri Light"/>
        </w:rPr>
        <w:t xml:space="preserve">Planu postępowań </w:t>
      </w:r>
      <w:r w:rsidRPr="005977CC">
        <w:rPr>
          <w:rFonts w:cs="Calibri Light"/>
        </w:rPr>
        <w:t>w Bankowym F</w:t>
      </w:r>
      <w:r>
        <w:rPr>
          <w:rFonts w:cs="Calibri Light"/>
        </w:rPr>
        <w:t>unduszu Gwarancyjnym na rok 2022</w:t>
      </w:r>
      <w:r w:rsidR="006956FA">
        <w:rPr>
          <w:rFonts w:cs="Calibri Light"/>
        </w:rPr>
        <w:t>,</w:t>
      </w:r>
    </w:p>
    <w:p w:rsidR="00F67EEF" w:rsidRPr="005977CC" w:rsidRDefault="00F67EEF" w:rsidP="006956FA">
      <w:pPr>
        <w:pStyle w:val="Akapitzlist"/>
        <w:widowControl w:val="0"/>
        <w:numPr>
          <w:ilvl w:val="0"/>
          <w:numId w:val="33"/>
        </w:numPr>
        <w:spacing w:after="120"/>
        <w:ind w:left="714" w:hanging="357"/>
        <w:contextualSpacing w:val="0"/>
        <w:rPr>
          <w:rFonts w:cs="Calibri Light"/>
        </w:rPr>
      </w:pPr>
      <w:r w:rsidRPr="007052BC">
        <w:rPr>
          <w:rFonts w:cs="Calibri Light"/>
        </w:rPr>
        <w:t>prowadzono następujące postępowania o udzielenie zamówienia publicznego, zgodnie</w:t>
      </w:r>
      <w:r w:rsidRPr="009D5ED8">
        <w:rPr>
          <w:rFonts w:cs="Calibri Light"/>
        </w:rPr>
        <w:t xml:space="preserve"> z procedurami przewidzianymi w </w:t>
      </w:r>
      <w:r w:rsidRPr="006956FA">
        <w:rPr>
          <w:rFonts w:cs="Calibri Light"/>
          <w:i/>
        </w:rPr>
        <w:t>ustawie z dnia 11 września 2019 r. Prawo zamówień publicznych</w:t>
      </w:r>
      <w:r w:rsidRPr="009D5ED8">
        <w:rPr>
          <w:rFonts w:cs="Calibri Light"/>
        </w:rPr>
        <w:t xml:space="preserve"> (Dz. U. z 2021 r., poz. 1129 z późn. zm.)</w:t>
      </w:r>
      <w:r>
        <w:rPr>
          <w:rFonts w:cs="Calibri Light"/>
        </w:rPr>
        <w:t>:</w:t>
      </w:r>
    </w:p>
    <w:p w:rsidR="00F67EEF" w:rsidRPr="006956FA" w:rsidRDefault="00F67EEF" w:rsidP="006956FA">
      <w:pPr>
        <w:spacing w:after="60"/>
        <w:ind w:firstLine="0"/>
        <w:rPr>
          <w:b/>
          <w:sz w:val="22"/>
          <w:szCs w:val="22"/>
        </w:rPr>
      </w:pPr>
      <w:r w:rsidRPr="006956FA">
        <w:rPr>
          <w:b/>
          <w:sz w:val="22"/>
          <w:szCs w:val="22"/>
        </w:rPr>
        <w:t>Tabela 1</w:t>
      </w:r>
      <w:r w:rsidR="000B083B">
        <w:rPr>
          <w:b/>
          <w:sz w:val="22"/>
          <w:szCs w:val="22"/>
        </w:rPr>
        <w:t>6</w:t>
      </w:r>
      <w:r w:rsidRPr="006956FA">
        <w:rPr>
          <w:b/>
          <w:sz w:val="22"/>
          <w:szCs w:val="22"/>
        </w:rPr>
        <w:t xml:space="preserve">. Postępowania o udzielenie zamówienia publicznego prowadzone w II kwartale 2022 r. </w:t>
      </w:r>
    </w:p>
    <w:tbl>
      <w:tblPr>
        <w:tblStyle w:val="Jasnalistaakcent1"/>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2415"/>
        <w:gridCol w:w="1554"/>
        <w:gridCol w:w="1564"/>
        <w:gridCol w:w="1428"/>
      </w:tblGrid>
      <w:tr w:rsidR="00F67EEF" w:rsidRPr="001B3302" w:rsidTr="001A71DD">
        <w:trPr>
          <w:cnfStyle w:val="100000000000" w:firstRow="1" w:lastRow="0" w:firstColumn="0" w:lastColumn="0" w:oddVBand="0" w:evenVBand="0" w:oddHBand="0" w:evenHBand="0" w:firstRowFirstColumn="0" w:firstRowLastColumn="0" w:lastRowFirstColumn="0" w:lastRowLastColumn="0"/>
          <w:trHeight w:val="1026"/>
          <w:tblHeade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2A5384"/>
            <w:vAlign w:val="center"/>
          </w:tcPr>
          <w:p w:rsidR="00F67EEF" w:rsidRPr="001B3302" w:rsidRDefault="00F67EEF" w:rsidP="00F67EEF">
            <w:pPr>
              <w:widowControl w:val="0"/>
              <w:ind w:firstLine="0"/>
              <w:jc w:val="center"/>
              <w:rPr>
                <w:rFonts w:cs="Calibri Light"/>
                <w:sz w:val="20"/>
              </w:rPr>
            </w:pPr>
            <w:r w:rsidRPr="001B3302">
              <w:rPr>
                <w:rFonts w:cs="Calibri Light"/>
                <w:sz w:val="20"/>
              </w:rPr>
              <w:t>Lp.</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right w:val="none" w:sz="0" w:space="0" w:color="auto"/>
            </w:tcBorders>
            <w:shd w:val="clear" w:color="auto" w:fill="2A5384"/>
            <w:vAlign w:val="center"/>
          </w:tcPr>
          <w:p w:rsidR="00F67EEF" w:rsidRPr="001B3302" w:rsidRDefault="00F67EEF" w:rsidP="00F67EEF">
            <w:pPr>
              <w:widowControl w:val="0"/>
              <w:ind w:firstLine="0"/>
              <w:jc w:val="center"/>
              <w:rPr>
                <w:rFonts w:cs="Calibri Light"/>
                <w:sz w:val="20"/>
              </w:rPr>
            </w:pPr>
            <w:r w:rsidRPr="001B3302">
              <w:rPr>
                <w:rFonts w:cs="Calibri Light"/>
                <w:sz w:val="20"/>
              </w:rPr>
              <w:t>Tryb postępowania</w:t>
            </w:r>
          </w:p>
        </w:tc>
        <w:tc>
          <w:tcPr>
            <w:tcW w:w="2415" w:type="dxa"/>
            <w:shd w:val="clear" w:color="auto" w:fill="2A5384"/>
            <w:vAlign w:val="center"/>
          </w:tcPr>
          <w:p w:rsidR="00F67EEF" w:rsidRPr="001B3302" w:rsidRDefault="00F67EEF" w:rsidP="00F67EEF">
            <w:pPr>
              <w:widowControl w:val="0"/>
              <w:ind w:firstLine="34"/>
              <w:jc w:val="center"/>
              <w:cnfStyle w:val="100000000000" w:firstRow="1" w:lastRow="0" w:firstColumn="0" w:lastColumn="0" w:oddVBand="0" w:evenVBand="0" w:oddHBand="0" w:evenHBand="0" w:firstRowFirstColumn="0" w:firstRowLastColumn="0" w:lastRowFirstColumn="0" w:lastRowLastColumn="0"/>
              <w:rPr>
                <w:rFonts w:cs="Calibri Light"/>
                <w:sz w:val="20"/>
              </w:rPr>
            </w:pPr>
            <w:r w:rsidRPr="001B3302">
              <w:rPr>
                <w:rFonts w:cs="Calibri Light"/>
                <w:sz w:val="20"/>
              </w:rPr>
              <w:t>Nazwa zamówienia</w:t>
            </w:r>
          </w:p>
        </w:tc>
        <w:tc>
          <w:tcPr>
            <w:cnfStyle w:val="000010000000" w:firstRow="0" w:lastRow="0" w:firstColumn="0" w:lastColumn="0" w:oddVBand="1" w:evenVBand="0" w:oddHBand="0" w:evenHBand="0" w:firstRowFirstColumn="0" w:firstRowLastColumn="0" w:lastRowFirstColumn="0" w:lastRowLastColumn="0"/>
            <w:tcW w:w="1554" w:type="dxa"/>
            <w:tcBorders>
              <w:top w:val="none" w:sz="0" w:space="0" w:color="auto"/>
              <w:left w:val="none" w:sz="0" w:space="0" w:color="auto"/>
              <w:right w:val="none" w:sz="0" w:space="0" w:color="auto"/>
            </w:tcBorders>
            <w:shd w:val="clear" w:color="auto" w:fill="2A5384"/>
            <w:vAlign w:val="center"/>
          </w:tcPr>
          <w:p w:rsidR="00F67EEF" w:rsidRPr="001B3302" w:rsidRDefault="00F67EEF" w:rsidP="006956FA">
            <w:pPr>
              <w:widowControl w:val="0"/>
              <w:spacing w:after="0"/>
              <w:ind w:firstLine="0"/>
              <w:jc w:val="center"/>
              <w:rPr>
                <w:rFonts w:cs="Calibri Light"/>
                <w:sz w:val="20"/>
              </w:rPr>
            </w:pPr>
            <w:r w:rsidRPr="001B3302">
              <w:rPr>
                <w:rFonts w:cs="Calibri Light"/>
                <w:sz w:val="20"/>
              </w:rPr>
              <w:t>Wartość szacunkowa zamówienia</w:t>
            </w:r>
          </w:p>
          <w:p w:rsidR="00F67EEF" w:rsidRPr="001B3302" w:rsidRDefault="00F67EEF" w:rsidP="006956FA">
            <w:pPr>
              <w:widowControl w:val="0"/>
              <w:spacing w:after="0"/>
              <w:ind w:firstLine="41"/>
              <w:jc w:val="center"/>
              <w:rPr>
                <w:rFonts w:cs="Calibri Light"/>
                <w:sz w:val="20"/>
              </w:rPr>
            </w:pPr>
            <w:r w:rsidRPr="001B3302">
              <w:rPr>
                <w:rFonts w:cs="Calibri Light"/>
                <w:sz w:val="20"/>
              </w:rPr>
              <w:t>(netto)</w:t>
            </w:r>
          </w:p>
        </w:tc>
        <w:tc>
          <w:tcPr>
            <w:tcW w:w="1564" w:type="dxa"/>
            <w:shd w:val="clear" w:color="auto" w:fill="2A5384"/>
            <w:vAlign w:val="center"/>
          </w:tcPr>
          <w:p w:rsidR="00F67EEF" w:rsidRPr="001B3302" w:rsidRDefault="00F67EEF" w:rsidP="00F67EEF">
            <w:pPr>
              <w:widowControl w:val="0"/>
              <w:ind w:firstLine="0"/>
              <w:jc w:val="center"/>
              <w:cnfStyle w:val="100000000000" w:firstRow="1" w:lastRow="0" w:firstColumn="0" w:lastColumn="0" w:oddVBand="0" w:evenVBand="0" w:oddHBand="0" w:evenHBand="0" w:firstRowFirstColumn="0" w:firstRowLastColumn="0" w:lastRowFirstColumn="0" w:lastRowLastColumn="0"/>
              <w:rPr>
                <w:rFonts w:cs="Calibri Light"/>
                <w:sz w:val="20"/>
              </w:rPr>
            </w:pPr>
            <w:r w:rsidRPr="001B3302">
              <w:rPr>
                <w:rFonts w:cs="Calibri Light"/>
                <w:sz w:val="20"/>
              </w:rPr>
              <w:t>Nr postępowania</w:t>
            </w:r>
          </w:p>
        </w:tc>
        <w:tc>
          <w:tcPr>
            <w:cnfStyle w:val="000100000000" w:firstRow="0" w:lastRow="0" w:firstColumn="0" w:lastColumn="1" w:oddVBand="0" w:evenVBand="0" w:oddHBand="0" w:evenHBand="0" w:firstRowFirstColumn="0" w:firstRowLastColumn="0" w:lastRowFirstColumn="0" w:lastRowLastColumn="0"/>
            <w:tcW w:w="1428" w:type="dxa"/>
            <w:shd w:val="clear" w:color="auto" w:fill="2A5384"/>
            <w:vAlign w:val="center"/>
          </w:tcPr>
          <w:p w:rsidR="00F67EEF" w:rsidRPr="001B3302" w:rsidRDefault="00F67EEF" w:rsidP="00F67EEF">
            <w:pPr>
              <w:widowControl w:val="0"/>
              <w:ind w:firstLine="0"/>
              <w:jc w:val="center"/>
              <w:rPr>
                <w:rFonts w:cs="Calibri Light"/>
                <w:sz w:val="20"/>
              </w:rPr>
            </w:pPr>
            <w:r w:rsidRPr="001B3302">
              <w:rPr>
                <w:rFonts w:cs="Calibri Light"/>
                <w:sz w:val="20"/>
              </w:rPr>
              <w:t>Etap postępowania</w:t>
            </w:r>
          </w:p>
        </w:tc>
      </w:tr>
      <w:tr w:rsidR="00F67EEF" w:rsidRPr="005977CC" w:rsidTr="006956FA">
        <w:trPr>
          <w:cnfStyle w:val="000000100000" w:firstRow="0" w:lastRow="0" w:firstColumn="0" w:lastColumn="0" w:oddVBand="0" w:evenVBand="0" w:oddHBand="1" w:evenHBand="0" w:firstRowFirstColumn="0" w:firstRowLastColumn="0" w:lastRowFirstColumn="0" w:lastRowLastColumn="0"/>
          <w:trHeight w:val="802"/>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tcBorders>
            <w:vAlign w:val="center"/>
          </w:tcPr>
          <w:p w:rsidR="00F67EEF"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1.</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F67EEF" w:rsidRPr="00C437B1" w:rsidRDefault="00F67EEF" w:rsidP="006956FA">
            <w:pPr>
              <w:widowControl w:val="0"/>
              <w:spacing w:after="0"/>
              <w:ind w:firstLine="0"/>
              <w:jc w:val="center"/>
              <w:rPr>
                <w:rFonts w:cs="Calibri Light"/>
                <w:color w:val="000000" w:themeColor="text1"/>
                <w:sz w:val="18"/>
                <w:szCs w:val="18"/>
              </w:rPr>
            </w:pPr>
            <w:r>
              <w:rPr>
                <w:rFonts w:cs="Calibri Light"/>
                <w:color w:val="000000" w:themeColor="text1"/>
                <w:sz w:val="18"/>
                <w:szCs w:val="18"/>
              </w:rPr>
              <w:t xml:space="preserve">Przetarg nieograniczony </w:t>
            </w:r>
            <w:r>
              <w:rPr>
                <w:rFonts w:cs="Calibri Light"/>
                <w:color w:val="000000" w:themeColor="text1"/>
                <w:sz w:val="18"/>
                <w:szCs w:val="18"/>
              </w:rPr>
              <w:br/>
            </w:r>
            <w:r w:rsidRPr="009C20F6">
              <w:rPr>
                <w:rFonts w:cs="Calibri Light"/>
                <w:color w:val="000000" w:themeColor="text1"/>
                <w:sz w:val="18"/>
                <w:szCs w:val="18"/>
              </w:rPr>
              <w:t>(art. 132 ustawy Pzp)</w:t>
            </w:r>
          </w:p>
        </w:tc>
        <w:tc>
          <w:tcPr>
            <w:tcW w:w="2415" w:type="dxa"/>
            <w:tcBorders>
              <w:top w:val="none" w:sz="0" w:space="0" w:color="auto"/>
              <w:bottom w:val="none" w:sz="0" w:space="0" w:color="auto"/>
            </w:tcBorders>
            <w:vAlign w:val="center"/>
          </w:tcPr>
          <w:p w:rsidR="00F67EEF" w:rsidRPr="0030072B" w:rsidRDefault="00F67EEF" w:rsidP="006956FA">
            <w:pPr>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bCs/>
                <w:iCs/>
                <w:sz w:val="18"/>
                <w:szCs w:val="18"/>
              </w:rPr>
            </w:pPr>
            <w:r w:rsidRPr="0030072B">
              <w:rPr>
                <w:rFonts w:eastAsiaTheme="minorHAnsi" w:cs="Calibri Light"/>
                <w:sz w:val="18"/>
                <w:szCs w:val="18"/>
                <w:lang w:eastAsia="en-US"/>
              </w:rPr>
              <w:t>Rozbudowa infrastruktury sieciowej – 3 części</w:t>
            </w:r>
          </w:p>
        </w:tc>
        <w:tc>
          <w:tcPr>
            <w:cnfStyle w:val="000010000000" w:firstRow="0" w:lastRow="0" w:firstColumn="0" w:lastColumn="0" w:oddVBand="1"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vAlign w:val="center"/>
          </w:tcPr>
          <w:p w:rsidR="00F67EEF" w:rsidRPr="007D40D9" w:rsidRDefault="00F67EEF" w:rsidP="006956FA">
            <w:pPr>
              <w:widowControl w:val="0"/>
              <w:spacing w:after="0"/>
              <w:ind w:firstLine="0"/>
              <w:jc w:val="center"/>
              <w:rPr>
                <w:rFonts w:cs="Calibri Light"/>
                <w:bCs/>
                <w:iCs/>
                <w:sz w:val="18"/>
                <w:szCs w:val="18"/>
              </w:rPr>
            </w:pPr>
            <w:r w:rsidRPr="007052BC">
              <w:rPr>
                <w:rFonts w:eastAsiaTheme="minorHAnsi" w:cs="Calibri Light"/>
                <w:sz w:val="18"/>
                <w:szCs w:val="18"/>
                <w:lang w:eastAsia="en-US"/>
              </w:rPr>
              <w:t>1 864 596,29</w:t>
            </w:r>
          </w:p>
        </w:tc>
        <w:tc>
          <w:tcPr>
            <w:tcW w:w="1564" w:type="dxa"/>
            <w:tcBorders>
              <w:top w:val="none" w:sz="0" w:space="0" w:color="auto"/>
              <w:bottom w:val="none" w:sz="0" w:space="0" w:color="auto"/>
            </w:tcBorders>
            <w:vAlign w:val="center"/>
          </w:tcPr>
          <w:p w:rsidR="00F67EEF" w:rsidRPr="0030072B" w:rsidRDefault="00F67EEF" w:rsidP="006956FA">
            <w:pPr>
              <w:widowControl w:val="0"/>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color w:val="000000" w:themeColor="text1"/>
                <w:sz w:val="18"/>
                <w:szCs w:val="18"/>
              </w:rPr>
            </w:pPr>
            <w:r w:rsidRPr="0030072B">
              <w:rPr>
                <w:rFonts w:cs="Calibri Light"/>
                <w:color w:val="000000" w:themeColor="text1"/>
                <w:sz w:val="18"/>
                <w:szCs w:val="18"/>
              </w:rPr>
              <w:t>DAZ/ZP/5/2021</w:t>
            </w:r>
          </w:p>
        </w:tc>
        <w:tc>
          <w:tcPr>
            <w:cnfStyle w:val="000100000000" w:firstRow="0" w:lastRow="0" w:firstColumn="0" w:lastColumn="1" w:oddVBand="0" w:evenVBand="0" w:oddHBand="0" w:evenHBand="0" w:firstRowFirstColumn="0" w:firstRowLastColumn="0" w:lastRowFirstColumn="0" w:lastRowLastColumn="0"/>
            <w:tcW w:w="1428" w:type="dxa"/>
            <w:tcBorders>
              <w:top w:val="none" w:sz="0" w:space="0" w:color="auto"/>
              <w:bottom w:val="none" w:sz="0" w:space="0" w:color="auto"/>
              <w:right w:val="none" w:sz="0" w:space="0" w:color="auto"/>
            </w:tcBorders>
            <w:vAlign w:val="center"/>
          </w:tcPr>
          <w:p w:rsidR="00F67EEF" w:rsidRPr="0030072B"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Część 1,2 i 3  – udzielenie zamówienia</w:t>
            </w:r>
          </w:p>
        </w:tc>
      </w:tr>
      <w:tr w:rsidR="00F67EEF" w:rsidRPr="005977CC" w:rsidTr="006956FA">
        <w:trPr>
          <w:trHeight w:val="11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F67EEF" w:rsidRPr="00E42ED0"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2</w:t>
            </w:r>
            <w:r w:rsidRPr="00E42ED0">
              <w:rPr>
                <w:rFonts w:cs="Calibri Light"/>
                <w:b w:val="0"/>
                <w:color w:val="000000" w:themeColor="text1"/>
                <w:sz w:val="18"/>
                <w:szCs w:val="18"/>
              </w:rPr>
              <w:t>.</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F67EEF" w:rsidRDefault="00F67EEF" w:rsidP="006956FA">
            <w:pPr>
              <w:widowControl w:val="0"/>
              <w:spacing w:after="0"/>
              <w:ind w:firstLine="0"/>
              <w:jc w:val="center"/>
              <w:rPr>
                <w:rFonts w:cs="Calibri Light"/>
                <w:color w:val="000000" w:themeColor="text1"/>
                <w:sz w:val="18"/>
                <w:szCs w:val="18"/>
              </w:rPr>
            </w:pPr>
            <w:r>
              <w:rPr>
                <w:rFonts w:cs="Calibri Light"/>
                <w:color w:val="000000" w:themeColor="text1"/>
                <w:sz w:val="18"/>
                <w:szCs w:val="18"/>
              </w:rPr>
              <w:t xml:space="preserve">Tryb podstawowy </w:t>
            </w:r>
            <w:r>
              <w:rPr>
                <w:rFonts w:cs="Calibri Light"/>
                <w:color w:val="000000" w:themeColor="text1"/>
                <w:sz w:val="18"/>
                <w:szCs w:val="18"/>
              </w:rPr>
              <w:br/>
              <w:t>bez negocjacji</w:t>
            </w:r>
            <w:r>
              <w:rPr>
                <w:rFonts w:cs="Calibri Light"/>
                <w:color w:val="000000" w:themeColor="text1"/>
                <w:sz w:val="18"/>
                <w:szCs w:val="18"/>
              </w:rPr>
              <w:br/>
            </w:r>
            <w:r w:rsidRPr="0030072B">
              <w:rPr>
                <w:rFonts w:cs="Calibri Light"/>
                <w:color w:val="000000" w:themeColor="text1"/>
                <w:sz w:val="18"/>
                <w:szCs w:val="18"/>
              </w:rPr>
              <w:t>(art. 275 pkt 1 ustawy Pzp)</w:t>
            </w:r>
          </w:p>
        </w:tc>
        <w:tc>
          <w:tcPr>
            <w:tcW w:w="2415" w:type="dxa"/>
            <w:vAlign w:val="center"/>
          </w:tcPr>
          <w:p w:rsidR="00F67EEF" w:rsidRPr="00277D2A" w:rsidRDefault="00F67EEF" w:rsidP="006956FA">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277D2A">
              <w:rPr>
                <w:rFonts w:cs="Calibri Light"/>
                <w:sz w:val="18"/>
                <w:szCs w:val="18"/>
              </w:rPr>
              <w:t>Dostawa i instalacja depozytorów kluczy na potrzeby BFG wraz z serwisem i wsparciem technicznym</w:t>
            </w:r>
          </w:p>
        </w:tc>
        <w:tc>
          <w:tcPr>
            <w:cnfStyle w:val="000010000000" w:firstRow="0" w:lastRow="0" w:firstColumn="0" w:lastColumn="0" w:oddVBand="1" w:evenVBand="0" w:oddHBand="0" w:evenHBand="0" w:firstRowFirstColumn="0" w:firstRowLastColumn="0" w:lastRowFirstColumn="0" w:lastRowLastColumn="0"/>
            <w:tcW w:w="1554" w:type="dxa"/>
            <w:tcBorders>
              <w:left w:val="none" w:sz="0" w:space="0" w:color="auto"/>
              <w:right w:val="none" w:sz="0" w:space="0" w:color="auto"/>
            </w:tcBorders>
            <w:vAlign w:val="center"/>
          </w:tcPr>
          <w:p w:rsidR="00F67EEF" w:rsidRPr="007D40D9" w:rsidRDefault="00F67EEF" w:rsidP="006956FA">
            <w:pPr>
              <w:widowControl w:val="0"/>
              <w:spacing w:after="0"/>
              <w:ind w:firstLine="0"/>
              <w:jc w:val="center"/>
              <w:rPr>
                <w:rFonts w:cs="Calibri Light"/>
                <w:iCs/>
                <w:sz w:val="18"/>
                <w:szCs w:val="18"/>
              </w:rPr>
            </w:pPr>
            <w:r>
              <w:rPr>
                <w:rFonts w:cs="Calibri Light"/>
                <w:iCs/>
                <w:sz w:val="18"/>
                <w:szCs w:val="18"/>
              </w:rPr>
              <w:t>178 847,76 zł</w:t>
            </w:r>
          </w:p>
        </w:tc>
        <w:tc>
          <w:tcPr>
            <w:tcW w:w="1564" w:type="dxa"/>
            <w:vAlign w:val="center"/>
          </w:tcPr>
          <w:p w:rsidR="00F67EEF" w:rsidRPr="009C20F6" w:rsidRDefault="00F67EEF" w:rsidP="006956FA">
            <w:pPr>
              <w:widowControl w:val="0"/>
              <w:spacing w:after="0"/>
              <w:ind w:firstLine="0"/>
              <w:jc w:val="center"/>
              <w:cnfStyle w:val="000000000000" w:firstRow="0" w:lastRow="0" w:firstColumn="0" w:lastColumn="0" w:oddVBand="0" w:evenVBand="0" w:oddHBand="0" w:evenHBand="0" w:firstRowFirstColumn="0" w:firstRowLastColumn="0" w:lastRowFirstColumn="0" w:lastRowLastColumn="0"/>
              <w:rPr>
                <w:rFonts w:cs="Calibri Light"/>
                <w:color w:val="000000" w:themeColor="text1"/>
                <w:sz w:val="18"/>
                <w:szCs w:val="18"/>
              </w:rPr>
            </w:pPr>
            <w:r>
              <w:rPr>
                <w:rFonts w:cs="Calibri Light"/>
                <w:color w:val="000000" w:themeColor="text1"/>
                <w:sz w:val="18"/>
                <w:szCs w:val="18"/>
              </w:rPr>
              <w:t>DAZ/ZP/1/2022</w:t>
            </w:r>
          </w:p>
        </w:tc>
        <w:tc>
          <w:tcPr>
            <w:cnfStyle w:val="000100000000" w:firstRow="0" w:lastRow="0" w:firstColumn="0" w:lastColumn="1" w:oddVBand="0" w:evenVBand="0" w:oddHBand="0" w:evenHBand="0" w:firstRowFirstColumn="0" w:firstRowLastColumn="0" w:lastRowFirstColumn="0" w:lastRowLastColumn="0"/>
            <w:tcW w:w="1428" w:type="dxa"/>
            <w:vAlign w:val="center"/>
          </w:tcPr>
          <w:p w:rsidR="00F67EEF"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Odstąpienie od prowadzenia postępowania</w:t>
            </w:r>
          </w:p>
        </w:tc>
      </w:tr>
      <w:tr w:rsidR="00F67EEF" w:rsidRPr="005977CC" w:rsidTr="006956FA">
        <w:trPr>
          <w:cnfStyle w:val="000000100000" w:firstRow="0" w:lastRow="0" w:firstColumn="0" w:lastColumn="0" w:oddVBand="0" w:evenVBand="0" w:oddHBand="1" w:evenHBand="0" w:firstRowFirstColumn="0" w:firstRowLastColumn="0" w:lastRowFirstColumn="0" w:lastRowLastColumn="0"/>
          <w:trHeight w:val="944"/>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tcBorders>
            <w:vAlign w:val="center"/>
          </w:tcPr>
          <w:p w:rsidR="00F67EEF" w:rsidRPr="00E42ED0"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3</w:t>
            </w:r>
            <w:r w:rsidRPr="00E42ED0">
              <w:rPr>
                <w:rFonts w:cs="Calibri Light"/>
                <w:b w:val="0"/>
                <w:color w:val="000000" w:themeColor="text1"/>
                <w:sz w:val="18"/>
                <w:szCs w:val="18"/>
              </w:rPr>
              <w:t>.</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F67EEF" w:rsidRDefault="00F67EEF" w:rsidP="006956FA">
            <w:pPr>
              <w:widowControl w:val="0"/>
              <w:spacing w:after="0"/>
              <w:ind w:firstLine="0"/>
              <w:jc w:val="center"/>
              <w:rPr>
                <w:rFonts w:cs="Calibri Light"/>
                <w:color w:val="000000" w:themeColor="text1"/>
                <w:sz w:val="18"/>
                <w:szCs w:val="18"/>
              </w:rPr>
            </w:pPr>
            <w:r>
              <w:rPr>
                <w:rFonts w:cs="Calibri Light"/>
                <w:color w:val="000000" w:themeColor="text1"/>
                <w:sz w:val="18"/>
                <w:szCs w:val="18"/>
              </w:rPr>
              <w:t xml:space="preserve">Tryb podstawowy </w:t>
            </w:r>
            <w:r>
              <w:rPr>
                <w:rFonts w:cs="Calibri Light"/>
                <w:color w:val="000000" w:themeColor="text1"/>
                <w:sz w:val="18"/>
                <w:szCs w:val="18"/>
              </w:rPr>
              <w:br/>
              <w:t>bez negocjacji</w:t>
            </w:r>
            <w:r>
              <w:rPr>
                <w:rFonts w:cs="Calibri Light"/>
                <w:color w:val="000000" w:themeColor="text1"/>
                <w:sz w:val="18"/>
                <w:szCs w:val="18"/>
              </w:rPr>
              <w:br/>
            </w:r>
            <w:r w:rsidRPr="0030072B">
              <w:rPr>
                <w:rFonts w:cs="Calibri Light"/>
                <w:color w:val="000000" w:themeColor="text1"/>
                <w:sz w:val="18"/>
                <w:szCs w:val="18"/>
              </w:rPr>
              <w:t>(art. 275 pkt 1 ustawy Pzp</w:t>
            </w:r>
            <w:r>
              <w:rPr>
                <w:rFonts w:cs="Calibri Light"/>
                <w:color w:val="000000" w:themeColor="text1"/>
                <w:sz w:val="18"/>
                <w:szCs w:val="18"/>
              </w:rPr>
              <w:t>)</w:t>
            </w:r>
          </w:p>
        </w:tc>
        <w:tc>
          <w:tcPr>
            <w:tcW w:w="2415" w:type="dxa"/>
            <w:tcBorders>
              <w:top w:val="none" w:sz="0" w:space="0" w:color="auto"/>
              <w:bottom w:val="none" w:sz="0" w:space="0" w:color="auto"/>
            </w:tcBorders>
            <w:vAlign w:val="center"/>
          </w:tcPr>
          <w:p w:rsidR="00F67EEF" w:rsidRPr="00277D2A" w:rsidRDefault="00F67EEF" w:rsidP="006956FA">
            <w:pPr>
              <w:autoSpaceDE w:val="0"/>
              <w:autoSpaceDN w:val="0"/>
              <w:adjustRightInd w:val="0"/>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277D2A">
              <w:rPr>
                <w:rFonts w:cs="Calibri"/>
                <w:sz w:val="18"/>
                <w:szCs w:val="18"/>
              </w:rPr>
              <w:t>Dostawa mebli biurowych</w:t>
            </w:r>
          </w:p>
        </w:tc>
        <w:tc>
          <w:tcPr>
            <w:cnfStyle w:val="000010000000" w:firstRow="0" w:lastRow="0" w:firstColumn="0" w:lastColumn="0" w:oddVBand="1"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vAlign w:val="center"/>
          </w:tcPr>
          <w:p w:rsidR="00F67EEF" w:rsidRPr="007D40D9" w:rsidRDefault="00F67EEF" w:rsidP="006956FA">
            <w:pPr>
              <w:widowControl w:val="0"/>
              <w:spacing w:after="0"/>
              <w:ind w:firstLine="0"/>
              <w:jc w:val="center"/>
              <w:rPr>
                <w:rFonts w:cs="Calibri Light"/>
                <w:iCs/>
                <w:sz w:val="18"/>
                <w:szCs w:val="18"/>
              </w:rPr>
            </w:pPr>
            <w:r>
              <w:rPr>
                <w:rFonts w:cs="Calibri Light"/>
                <w:iCs/>
                <w:sz w:val="18"/>
                <w:szCs w:val="18"/>
              </w:rPr>
              <w:t>286 328,46 zł</w:t>
            </w:r>
          </w:p>
        </w:tc>
        <w:tc>
          <w:tcPr>
            <w:tcW w:w="1564" w:type="dxa"/>
            <w:tcBorders>
              <w:top w:val="none" w:sz="0" w:space="0" w:color="auto"/>
              <w:bottom w:val="none" w:sz="0" w:space="0" w:color="auto"/>
            </w:tcBorders>
            <w:vAlign w:val="center"/>
          </w:tcPr>
          <w:p w:rsidR="00F67EEF" w:rsidRPr="009C20F6" w:rsidRDefault="00F67EEF" w:rsidP="006956FA">
            <w:pPr>
              <w:widowControl w:val="0"/>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color w:val="000000" w:themeColor="text1"/>
                <w:sz w:val="18"/>
                <w:szCs w:val="18"/>
              </w:rPr>
            </w:pPr>
            <w:r>
              <w:rPr>
                <w:rFonts w:cs="Calibri Light"/>
                <w:color w:val="000000" w:themeColor="text1"/>
                <w:sz w:val="18"/>
                <w:szCs w:val="18"/>
              </w:rPr>
              <w:t>DAZ/ZP/2/2022</w:t>
            </w:r>
          </w:p>
        </w:tc>
        <w:tc>
          <w:tcPr>
            <w:cnfStyle w:val="000100000000" w:firstRow="0" w:lastRow="0" w:firstColumn="0" w:lastColumn="1" w:oddVBand="0" w:evenVBand="0" w:oddHBand="0" w:evenHBand="0" w:firstRowFirstColumn="0" w:firstRowLastColumn="0" w:lastRowFirstColumn="0" w:lastRowLastColumn="0"/>
            <w:tcW w:w="1428" w:type="dxa"/>
            <w:tcBorders>
              <w:top w:val="none" w:sz="0" w:space="0" w:color="auto"/>
              <w:bottom w:val="none" w:sz="0" w:space="0" w:color="auto"/>
              <w:right w:val="none" w:sz="0" w:space="0" w:color="auto"/>
            </w:tcBorders>
            <w:vAlign w:val="center"/>
          </w:tcPr>
          <w:p w:rsidR="00F67EEF"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 xml:space="preserve">Postępowanie </w:t>
            </w:r>
            <w:r>
              <w:rPr>
                <w:rFonts w:cs="Calibri Light"/>
                <w:b w:val="0"/>
                <w:color w:val="000000" w:themeColor="text1"/>
                <w:sz w:val="18"/>
                <w:szCs w:val="18"/>
              </w:rPr>
              <w:br/>
              <w:t>w toku</w:t>
            </w:r>
          </w:p>
        </w:tc>
      </w:tr>
      <w:tr w:rsidR="00F67EEF" w:rsidRPr="005977CC" w:rsidTr="006956FA">
        <w:trPr>
          <w:trHeight w:val="2019"/>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F67EEF" w:rsidRPr="00E42ED0"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4</w:t>
            </w:r>
            <w:r w:rsidRPr="00E42ED0">
              <w:rPr>
                <w:rFonts w:cs="Calibri Light"/>
                <w:b w:val="0"/>
                <w:color w:val="000000" w:themeColor="text1"/>
                <w:sz w:val="18"/>
                <w:szCs w:val="18"/>
              </w:rPr>
              <w:t>.</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F67EEF" w:rsidRPr="000C29E4" w:rsidRDefault="00F67EEF" w:rsidP="006956FA">
            <w:pPr>
              <w:widowControl w:val="0"/>
              <w:spacing w:after="0"/>
              <w:ind w:firstLine="0"/>
              <w:jc w:val="center"/>
              <w:rPr>
                <w:rFonts w:cs="Calibri Light"/>
                <w:color w:val="000000" w:themeColor="text1"/>
                <w:sz w:val="18"/>
                <w:szCs w:val="18"/>
              </w:rPr>
            </w:pPr>
            <w:r w:rsidRPr="000C29E4">
              <w:rPr>
                <w:rFonts w:cs="Calibri Light"/>
                <w:color w:val="000000" w:themeColor="text1"/>
                <w:sz w:val="18"/>
                <w:szCs w:val="18"/>
              </w:rPr>
              <w:t>Negocjacje bez ogłoszenia</w:t>
            </w:r>
          </w:p>
          <w:p w:rsidR="00F67EEF" w:rsidRDefault="00F67EEF" w:rsidP="006956FA">
            <w:pPr>
              <w:widowControl w:val="0"/>
              <w:spacing w:after="0"/>
              <w:ind w:firstLine="0"/>
              <w:jc w:val="center"/>
              <w:rPr>
                <w:rFonts w:cs="Calibri Light"/>
                <w:color w:val="000000" w:themeColor="text1"/>
                <w:sz w:val="18"/>
                <w:szCs w:val="18"/>
              </w:rPr>
            </w:pPr>
            <w:r w:rsidRPr="000C29E4">
              <w:rPr>
                <w:rFonts w:cs="Calibri Light"/>
                <w:color w:val="000000" w:themeColor="text1"/>
                <w:sz w:val="18"/>
                <w:szCs w:val="18"/>
              </w:rPr>
              <w:t>(</w:t>
            </w:r>
            <w:r w:rsidRPr="000C29E4">
              <w:rPr>
                <w:rFonts w:eastAsia="Times New Roman" w:cs="Calibri Light"/>
                <w:sz w:val="18"/>
                <w:szCs w:val="18"/>
              </w:rPr>
              <w:t>art. 209 ust. 1 pkt 4 ustawy Pzp)</w:t>
            </w:r>
          </w:p>
        </w:tc>
        <w:tc>
          <w:tcPr>
            <w:tcW w:w="2415" w:type="dxa"/>
            <w:vAlign w:val="center"/>
          </w:tcPr>
          <w:p w:rsidR="00F67EEF" w:rsidRPr="00277D2A" w:rsidRDefault="00F67EEF" w:rsidP="006956FA">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eastAsiaTheme="minorHAnsi" w:cs="Calibri Light"/>
                <w:bCs/>
                <w:sz w:val="18"/>
                <w:szCs w:val="18"/>
                <w:lang w:eastAsia="en-US"/>
              </w:rPr>
            </w:pPr>
            <w:r w:rsidRPr="00277D2A">
              <w:rPr>
                <w:rFonts w:eastAsiaTheme="minorHAnsi" w:cs="Calibri Light"/>
                <w:bCs/>
                <w:sz w:val="18"/>
                <w:szCs w:val="18"/>
                <w:lang w:eastAsia="en-US"/>
              </w:rPr>
              <w:t>Doradztwo w zakresie wyboru możliwych wariantów zastosowania instrumentów</w:t>
            </w:r>
          </w:p>
          <w:p w:rsidR="00F67EEF" w:rsidRPr="00277D2A" w:rsidRDefault="00F67EEF" w:rsidP="006956FA">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eastAsiaTheme="minorHAnsi" w:cs="Calibri Light"/>
                <w:bCs/>
                <w:sz w:val="18"/>
                <w:szCs w:val="18"/>
                <w:lang w:eastAsia="en-US"/>
              </w:rPr>
            </w:pPr>
            <w:r w:rsidRPr="00277D2A">
              <w:rPr>
                <w:rFonts w:eastAsiaTheme="minorHAnsi" w:cs="Calibri Light"/>
                <w:bCs/>
                <w:sz w:val="18"/>
                <w:szCs w:val="18"/>
                <w:lang w:eastAsia="en-US"/>
              </w:rPr>
              <w:t>przymusowej restrukturyzacji w odniesieniu do wybranych podmiotów podlegających przymusowej</w:t>
            </w:r>
          </w:p>
          <w:p w:rsidR="00F67EEF" w:rsidRPr="00C437B1" w:rsidRDefault="00F67EEF" w:rsidP="006956FA">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277D2A">
              <w:rPr>
                <w:rFonts w:eastAsiaTheme="minorHAnsi" w:cs="Calibri Light"/>
                <w:bCs/>
                <w:sz w:val="18"/>
                <w:szCs w:val="18"/>
                <w:lang w:eastAsia="en-US"/>
              </w:rPr>
              <w:t>restrukturyzacji w obecnej sytua</w:t>
            </w:r>
            <w:r>
              <w:rPr>
                <w:rFonts w:eastAsiaTheme="minorHAnsi" w:cs="Calibri Light"/>
                <w:bCs/>
                <w:sz w:val="18"/>
                <w:szCs w:val="18"/>
                <w:lang w:eastAsia="en-US"/>
              </w:rPr>
              <w:t>cji geopolitycznej</w:t>
            </w:r>
          </w:p>
        </w:tc>
        <w:tc>
          <w:tcPr>
            <w:cnfStyle w:val="000010000000" w:firstRow="0" w:lastRow="0" w:firstColumn="0" w:lastColumn="0" w:oddVBand="1" w:evenVBand="0" w:oddHBand="0" w:evenHBand="0" w:firstRowFirstColumn="0" w:firstRowLastColumn="0" w:lastRowFirstColumn="0" w:lastRowLastColumn="0"/>
            <w:tcW w:w="1554" w:type="dxa"/>
            <w:tcBorders>
              <w:left w:val="none" w:sz="0" w:space="0" w:color="auto"/>
              <w:right w:val="none" w:sz="0" w:space="0" w:color="auto"/>
            </w:tcBorders>
            <w:vAlign w:val="center"/>
          </w:tcPr>
          <w:p w:rsidR="00F67EEF" w:rsidRPr="00C923FA" w:rsidRDefault="00F67EEF" w:rsidP="006956FA">
            <w:pPr>
              <w:spacing w:after="0"/>
              <w:ind w:right="-1" w:firstLine="0"/>
              <w:jc w:val="center"/>
              <w:rPr>
                <w:rFonts w:eastAsia="Times New Roman" w:cs="Calibri Light"/>
                <w:color w:val="000000" w:themeColor="text1"/>
                <w:sz w:val="18"/>
                <w:szCs w:val="18"/>
              </w:rPr>
            </w:pPr>
            <w:r w:rsidRPr="00C923FA">
              <w:rPr>
                <w:rFonts w:eastAsia="Times New Roman" w:cs="Calibri Light"/>
                <w:color w:val="000000" w:themeColor="text1"/>
                <w:sz w:val="18"/>
                <w:szCs w:val="18"/>
              </w:rPr>
              <w:t>14 867 300,00</w:t>
            </w:r>
            <w:r>
              <w:rPr>
                <w:rFonts w:eastAsia="Times New Roman" w:cs="Calibri Light"/>
                <w:color w:val="000000" w:themeColor="text1"/>
                <w:sz w:val="18"/>
                <w:szCs w:val="18"/>
              </w:rPr>
              <w:t xml:space="preserve"> zł</w:t>
            </w:r>
          </w:p>
          <w:p w:rsidR="00F67EEF" w:rsidRPr="007D40D9" w:rsidRDefault="00F67EEF" w:rsidP="006956FA">
            <w:pPr>
              <w:widowControl w:val="0"/>
              <w:spacing w:after="0"/>
              <w:ind w:firstLine="0"/>
              <w:jc w:val="center"/>
              <w:rPr>
                <w:rFonts w:cs="Calibri Light"/>
                <w:iCs/>
                <w:sz w:val="18"/>
                <w:szCs w:val="18"/>
              </w:rPr>
            </w:pPr>
          </w:p>
        </w:tc>
        <w:tc>
          <w:tcPr>
            <w:tcW w:w="1564" w:type="dxa"/>
            <w:vAlign w:val="center"/>
          </w:tcPr>
          <w:p w:rsidR="00F67EEF" w:rsidRPr="009C20F6" w:rsidRDefault="00F67EEF" w:rsidP="006956FA">
            <w:pPr>
              <w:widowControl w:val="0"/>
              <w:spacing w:after="0"/>
              <w:ind w:firstLine="0"/>
              <w:jc w:val="center"/>
              <w:cnfStyle w:val="000000000000" w:firstRow="0" w:lastRow="0" w:firstColumn="0" w:lastColumn="0" w:oddVBand="0" w:evenVBand="0" w:oddHBand="0" w:evenHBand="0" w:firstRowFirstColumn="0" w:firstRowLastColumn="0" w:lastRowFirstColumn="0" w:lastRowLastColumn="0"/>
              <w:rPr>
                <w:rFonts w:cs="Calibri Light"/>
                <w:color w:val="000000" w:themeColor="text1"/>
                <w:sz w:val="18"/>
                <w:szCs w:val="18"/>
              </w:rPr>
            </w:pPr>
            <w:r>
              <w:rPr>
                <w:rFonts w:cs="Calibri Light"/>
                <w:color w:val="000000" w:themeColor="text1"/>
                <w:sz w:val="18"/>
                <w:szCs w:val="18"/>
              </w:rPr>
              <w:t>DAZ/ZP/3/2022</w:t>
            </w:r>
          </w:p>
        </w:tc>
        <w:tc>
          <w:tcPr>
            <w:cnfStyle w:val="000100000000" w:firstRow="0" w:lastRow="0" w:firstColumn="0" w:lastColumn="1" w:oddVBand="0" w:evenVBand="0" w:oddHBand="0" w:evenHBand="0" w:firstRowFirstColumn="0" w:firstRowLastColumn="0" w:lastRowFirstColumn="0" w:lastRowLastColumn="0"/>
            <w:tcW w:w="1428" w:type="dxa"/>
            <w:vAlign w:val="center"/>
          </w:tcPr>
          <w:p w:rsidR="00F67EEF"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 xml:space="preserve">Postępowanie </w:t>
            </w:r>
            <w:r>
              <w:rPr>
                <w:rFonts w:cs="Calibri Light"/>
                <w:b w:val="0"/>
                <w:color w:val="000000" w:themeColor="text1"/>
                <w:sz w:val="18"/>
                <w:szCs w:val="18"/>
              </w:rPr>
              <w:br/>
              <w:t>w toku</w:t>
            </w:r>
          </w:p>
        </w:tc>
      </w:tr>
      <w:tr w:rsidR="00F67EEF" w:rsidRPr="005977CC" w:rsidTr="006956FA">
        <w:trPr>
          <w:cnfStyle w:val="000000100000" w:firstRow="0" w:lastRow="0" w:firstColumn="0" w:lastColumn="0" w:oddVBand="0" w:evenVBand="0" w:oddHBand="1" w:evenHBand="0" w:firstRowFirstColumn="0" w:firstRowLastColumn="0" w:lastRowFirstColumn="0" w:lastRowLastColumn="0"/>
          <w:trHeight w:val="844"/>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tcBorders>
            <w:vAlign w:val="center"/>
          </w:tcPr>
          <w:p w:rsidR="00F67EEF" w:rsidRPr="00B9223A"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5</w:t>
            </w:r>
            <w:r w:rsidRPr="00B9223A">
              <w:rPr>
                <w:rFonts w:cs="Calibri Light"/>
                <w:b w:val="0"/>
                <w:color w:val="000000" w:themeColor="text1"/>
                <w:sz w:val="18"/>
                <w:szCs w:val="18"/>
              </w:rPr>
              <w:t>.</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F67EEF" w:rsidRPr="00B9223A" w:rsidRDefault="00F67EEF" w:rsidP="006956FA">
            <w:pPr>
              <w:widowControl w:val="0"/>
              <w:spacing w:after="0"/>
              <w:ind w:firstLine="0"/>
              <w:jc w:val="center"/>
              <w:rPr>
                <w:rFonts w:cs="Calibri Light"/>
                <w:b/>
                <w:color w:val="000000" w:themeColor="text1"/>
                <w:sz w:val="18"/>
                <w:szCs w:val="18"/>
              </w:rPr>
            </w:pPr>
            <w:r w:rsidRPr="00B9223A">
              <w:rPr>
                <w:rFonts w:cs="Calibri Light"/>
                <w:color w:val="000000" w:themeColor="text1"/>
                <w:sz w:val="18"/>
                <w:szCs w:val="18"/>
              </w:rPr>
              <w:t xml:space="preserve">Przetarg nieograniczony </w:t>
            </w:r>
            <w:r w:rsidRPr="00B9223A">
              <w:rPr>
                <w:rFonts w:cs="Calibri Light"/>
                <w:color w:val="000000" w:themeColor="text1"/>
                <w:sz w:val="18"/>
                <w:szCs w:val="18"/>
              </w:rPr>
              <w:br/>
              <w:t>(art. 132 ustawy Pzp)</w:t>
            </w:r>
          </w:p>
        </w:tc>
        <w:tc>
          <w:tcPr>
            <w:tcW w:w="2415" w:type="dxa"/>
            <w:tcBorders>
              <w:top w:val="none" w:sz="0" w:space="0" w:color="auto"/>
              <w:bottom w:val="none" w:sz="0" w:space="0" w:color="auto"/>
            </w:tcBorders>
            <w:vAlign w:val="center"/>
          </w:tcPr>
          <w:p w:rsidR="00F67EEF" w:rsidRPr="00B9223A" w:rsidRDefault="00F67EEF" w:rsidP="006956FA">
            <w:pPr>
              <w:autoSpaceDE w:val="0"/>
              <w:autoSpaceDN w:val="0"/>
              <w:adjustRightInd w:val="0"/>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b/>
                <w:sz w:val="18"/>
                <w:szCs w:val="18"/>
              </w:rPr>
            </w:pPr>
            <w:r w:rsidRPr="00B9223A">
              <w:rPr>
                <w:rFonts w:cs="Calibri Light"/>
                <w:sz w:val="18"/>
                <w:szCs w:val="18"/>
              </w:rPr>
              <w:t>Sprzedaż energii elektrycznej dla Bankowego Funduszu Gwarancyjnego</w:t>
            </w:r>
          </w:p>
        </w:tc>
        <w:tc>
          <w:tcPr>
            <w:cnfStyle w:val="000010000000" w:firstRow="0" w:lastRow="0" w:firstColumn="0" w:lastColumn="0" w:oddVBand="1"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vAlign w:val="center"/>
          </w:tcPr>
          <w:p w:rsidR="00F67EEF" w:rsidRPr="00B9223A" w:rsidRDefault="00F67EEF" w:rsidP="006956FA">
            <w:pPr>
              <w:widowControl w:val="0"/>
              <w:spacing w:after="0"/>
              <w:ind w:firstLine="0"/>
              <w:jc w:val="center"/>
              <w:rPr>
                <w:rFonts w:cs="Calibri Light"/>
                <w:b/>
                <w:iCs/>
                <w:sz w:val="18"/>
                <w:szCs w:val="18"/>
              </w:rPr>
            </w:pPr>
            <w:r w:rsidRPr="00B9223A">
              <w:rPr>
                <w:rFonts w:cs="Calibri Light"/>
                <w:iCs/>
                <w:sz w:val="18"/>
                <w:szCs w:val="18"/>
              </w:rPr>
              <w:t>1 020 240,66 zł</w:t>
            </w:r>
          </w:p>
        </w:tc>
        <w:tc>
          <w:tcPr>
            <w:tcW w:w="1564" w:type="dxa"/>
            <w:tcBorders>
              <w:top w:val="none" w:sz="0" w:space="0" w:color="auto"/>
              <w:bottom w:val="none" w:sz="0" w:space="0" w:color="auto"/>
            </w:tcBorders>
            <w:vAlign w:val="center"/>
          </w:tcPr>
          <w:p w:rsidR="00F67EEF" w:rsidRPr="00B9223A" w:rsidRDefault="00F67EEF" w:rsidP="006956FA">
            <w:pPr>
              <w:widowControl w:val="0"/>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b/>
                <w:color w:val="000000" w:themeColor="text1"/>
                <w:sz w:val="18"/>
                <w:szCs w:val="18"/>
              </w:rPr>
            </w:pPr>
            <w:r w:rsidRPr="00B9223A">
              <w:rPr>
                <w:rFonts w:cs="Calibri Light"/>
                <w:color w:val="000000" w:themeColor="text1"/>
                <w:sz w:val="18"/>
                <w:szCs w:val="18"/>
              </w:rPr>
              <w:t>DAZ/ZP/4/2022</w:t>
            </w:r>
          </w:p>
        </w:tc>
        <w:tc>
          <w:tcPr>
            <w:cnfStyle w:val="000100000000" w:firstRow="0" w:lastRow="0" w:firstColumn="0" w:lastColumn="1" w:oddVBand="0" w:evenVBand="0" w:oddHBand="0" w:evenHBand="0" w:firstRowFirstColumn="0" w:firstRowLastColumn="0" w:lastRowFirstColumn="0" w:lastRowLastColumn="0"/>
            <w:tcW w:w="1428" w:type="dxa"/>
            <w:tcBorders>
              <w:top w:val="none" w:sz="0" w:space="0" w:color="auto"/>
              <w:bottom w:val="none" w:sz="0" w:space="0" w:color="auto"/>
              <w:right w:val="none" w:sz="0" w:space="0" w:color="auto"/>
            </w:tcBorders>
            <w:vAlign w:val="center"/>
          </w:tcPr>
          <w:p w:rsidR="00F67EEF" w:rsidRPr="00B9223A"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 xml:space="preserve">Postępowanie </w:t>
            </w:r>
            <w:r>
              <w:rPr>
                <w:rFonts w:cs="Calibri Light"/>
                <w:b w:val="0"/>
                <w:color w:val="000000" w:themeColor="text1"/>
                <w:sz w:val="18"/>
                <w:szCs w:val="18"/>
              </w:rPr>
              <w:br/>
              <w:t>w toku</w:t>
            </w:r>
          </w:p>
        </w:tc>
      </w:tr>
      <w:tr w:rsidR="00F67EEF" w:rsidRPr="005977CC" w:rsidTr="006956FA">
        <w:trPr>
          <w:trHeight w:val="127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F67EEF" w:rsidRPr="009C3528" w:rsidRDefault="00F67EEF" w:rsidP="006956FA">
            <w:pPr>
              <w:widowControl w:val="0"/>
              <w:spacing w:after="0"/>
              <w:ind w:firstLine="0"/>
              <w:jc w:val="center"/>
              <w:rPr>
                <w:rFonts w:cs="Calibri Light"/>
                <w:b w:val="0"/>
                <w:color w:val="000000" w:themeColor="text1"/>
                <w:sz w:val="18"/>
                <w:szCs w:val="18"/>
              </w:rPr>
            </w:pPr>
            <w:r w:rsidRPr="009C3528">
              <w:rPr>
                <w:rFonts w:cs="Calibri Light"/>
                <w:b w:val="0"/>
                <w:color w:val="000000" w:themeColor="text1"/>
                <w:sz w:val="18"/>
                <w:szCs w:val="18"/>
              </w:rPr>
              <w:t>6.</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F67EEF" w:rsidRPr="009C3528" w:rsidRDefault="00F67EEF" w:rsidP="006956FA">
            <w:pPr>
              <w:widowControl w:val="0"/>
              <w:spacing w:after="0"/>
              <w:ind w:firstLine="0"/>
              <w:jc w:val="center"/>
              <w:rPr>
                <w:rFonts w:cs="Calibri Light"/>
                <w:color w:val="000000" w:themeColor="text1"/>
                <w:sz w:val="18"/>
                <w:szCs w:val="18"/>
              </w:rPr>
            </w:pPr>
            <w:r w:rsidRPr="009C3528">
              <w:rPr>
                <w:rFonts w:cs="Calibri Light"/>
                <w:color w:val="000000" w:themeColor="text1"/>
                <w:sz w:val="18"/>
                <w:szCs w:val="18"/>
              </w:rPr>
              <w:t xml:space="preserve">Tryb podstawowy </w:t>
            </w:r>
            <w:r w:rsidRPr="009C3528">
              <w:rPr>
                <w:rFonts w:cs="Calibri Light"/>
                <w:color w:val="000000" w:themeColor="text1"/>
                <w:sz w:val="18"/>
                <w:szCs w:val="18"/>
              </w:rPr>
              <w:br/>
              <w:t>bez negocjacji</w:t>
            </w:r>
            <w:r w:rsidRPr="009C3528">
              <w:rPr>
                <w:rFonts w:cs="Calibri Light"/>
                <w:color w:val="000000" w:themeColor="text1"/>
                <w:sz w:val="18"/>
                <w:szCs w:val="18"/>
              </w:rPr>
              <w:br/>
              <w:t>(art. 275 pkt 1 ustawy Pzp), zawarcie umowy ramowej</w:t>
            </w:r>
          </w:p>
        </w:tc>
        <w:tc>
          <w:tcPr>
            <w:tcW w:w="2415" w:type="dxa"/>
            <w:vAlign w:val="center"/>
          </w:tcPr>
          <w:p w:rsidR="00F67EEF" w:rsidRPr="009C3528" w:rsidRDefault="00F67EEF" w:rsidP="006956FA">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9C3528">
              <w:rPr>
                <w:rFonts w:cs="Calibri Light"/>
                <w:sz w:val="18"/>
                <w:szCs w:val="18"/>
              </w:rPr>
              <w:t>Usługi wspierające proces wytwarzania i utrzymania systemów informatycznych</w:t>
            </w:r>
          </w:p>
        </w:tc>
        <w:tc>
          <w:tcPr>
            <w:cnfStyle w:val="000010000000" w:firstRow="0" w:lastRow="0" w:firstColumn="0" w:lastColumn="0" w:oddVBand="1" w:evenVBand="0" w:oddHBand="0" w:evenHBand="0" w:firstRowFirstColumn="0" w:firstRowLastColumn="0" w:lastRowFirstColumn="0" w:lastRowLastColumn="0"/>
            <w:tcW w:w="1554" w:type="dxa"/>
            <w:tcBorders>
              <w:left w:val="none" w:sz="0" w:space="0" w:color="auto"/>
              <w:right w:val="none" w:sz="0" w:space="0" w:color="auto"/>
            </w:tcBorders>
            <w:vAlign w:val="center"/>
          </w:tcPr>
          <w:p w:rsidR="00F67EEF" w:rsidRPr="009C3528" w:rsidRDefault="00F67EEF" w:rsidP="006956FA">
            <w:pPr>
              <w:widowControl w:val="0"/>
              <w:spacing w:after="0"/>
              <w:ind w:firstLine="0"/>
              <w:jc w:val="center"/>
              <w:rPr>
                <w:rFonts w:cs="Calibri Light"/>
                <w:iCs/>
                <w:sz w:val="18"/>
                <w:szCs w:val="18"/>
              </w:rPr>
            </w:pPr>
            <w:r w:rsidRPr="009C3528">
              <w:rPr>
                <w:rFonts w:cs="Calibri Light"/>
                <w:iCs/>
                <w:sz w:val="18"/>
                <w:szCs w:val="18"/>
              </w:rPr>
              <w:t>348 488,70 zł</w:t>
            </w:r>
          </w:p>
        </w:tc>
        <w:tc>
          <w:tcPr>
            <w:tcW w:w="1564" w:type="dxa"/>
            <w:vAlign w:val="center"/>
          </w:tcPr>
          <w:p w:rsidR="00F67EEF" w:rsidRPr="009C3528" w:rsidRDefault="00F67EEF" w:rsidP="006956FA">
            <w:pPr>
              <w:widowControl w:val="0"/>
              <w:spacing w:after="0"/>
              <w:ind w:firstLine="0"/>
              <w:jc w:val="center"/>
              <w:cnfStyle w:val="000000000000" w:firstRow="0" w:lastRow="0" w:firstColumn="0" w:lastColumn="0" w:oddVBand="0" w:evenVBand="0" w:oddHBand="0" w:evenHBand="0" w:firstRowFirstColumn="0" w:firstRowLastColumn="0" w:lastRowFirstColumn="0" w:lastRowLastColumn="0"/>
              <w:rPr>
                <w:rFonts w:cs="Calibri Light"/>
                <w:color w:val="000000" w:themeColor="text1"/>
                <w:sz w:val="18"/>
                <w:szCs w:val="18"/>
              </w:rPr>
            </w:pPr>
            <w:r w:rsidRPr="009C3528">
              <w:rPr>
                <w:rFonts w:cs="Calibri Light"/>
                <w:color w:val="000000" w:themeColor="text1"/>
                <w:sz w:val="18"/>
                <w:szCs w:val="18"/>
              </w:rPr>
              <w:t>DAZ/ZP/5/2022</w:t>
            </w:r>
          </w:p>
        </w:tc>
        <w:tc>
          <w:tcPr>
            <w:cnfStyle w:val="000100000000" w:firstRow="0" w:lastRow="0" w:firstColumn="0" w:lastColumn="1" w:oddVBand="0" w:evenVBand="0" w:oddHBand="0" w:evenHBand="0" w:firstRowFirstColumn="0" w:firstRowLastColumn="0" w:lastRowFirstColumn="0" w:lastRowLastColumn="0"/>
            <w:tcW w:w="1428" w:type="dxa"/>
            <w:vAlign w:val="center"/>
          </w:tcPr>
          <w:p w:rsidR="00F67EEF" w:rsidRPr="009C3528" w:rsidRDefault="00F67EEF" w:rsidP="006956FA">
            <w:pPr>
              <w:widowControl w:val="0"/>
              <w:spacing w:after="0"/>
              <w:ind w:firstLine="0"/>
              <w:jc w:val="center"/>
              <w:rPr>
                <w:rFonts w:cs="Calibri Light"/>
                <w:b w:val="0"/>
                <w:color w:val="000000" w:themeColor="text1"/>
                <w:sz w:val="18"/>
                <w:szCs w:val="18"/>
              </w:rPr>
            </w:pPr>
            <w:r w:rsidRPr="009C3528">
              <w:rPr>
                <w:rFonts w:cs="Calibri Light"/>
                <w:b w:val="0"/>
                <w:color w:val="000000" w:themeColor="text1"/>
                <w:sz w:val="18"/>
                <w:szCs w:val="18"/>
              </w:rPr>
              <w:t>Udzielenie zamówienia</w:t>
            </w:r>
          </w:p>
        </w:tc>
      </w:tr>
      <w:tr w:rsidR="00F67EEF" w:rsidRPr="005977CC" w:rsidTr="006956FA">
        <w:trPr>
          <w:cnfStyle w:val="000000100000" w:firstRow="0" w:lastRow="0" w:firstColumn="0" w:lastColumn="0" w:oddVBand="0" w:evenVBand="0" w:oddHBand="1" w:evenHBand="0" w:firstRowFirstColumn="0" w:firstRowLastColumn="0" w:lastRowFirstColumn="0" w:lastRowLastColumn="0"/>
          <w:trHeight w:val="944"/>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tcBorders>
            <w:vAlign w:val="center"/>
          </w:tcPr>
          <w:p w:rsidR="00F67EEF" w:rsidRPr="00015CB2"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7.</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F67EEF" w:rsidRPr="00015CB2" w:rsidRDefault="00F67EEF" w:rsidP="006956FA">
            <w:pPr>
              <w:widowControl w:val="0"/>
              <w:spacing w:after="0"/>
              <w:ind w:firstLine="0"/>
              <w:jc w:val="center"/>
              <w:rPr>
                <w:rFonts w:cs="Calibri Light"/>
                <w:b/>
                <w:color w:val="000000" w:themeColor="text1"/>
                <w:sz w:val="18"/>
                <w:szCs w:val="18"/>
              </w:rPr>
            </w:pPr>
            <w:r w:rsidRPr="009C3528">
              <w:rPr>
                <w:rFonts w:cs="Calibri Light"/>
                <w:color w:val="000000" w:themeColor="text1"/>
                <w:sz w:val="18"/>
                <w:szCs w:val="18"/>
              </w:rPr>
              <w:t xml:space="preserve">Tryb podstawowy </w:t>
            </w:r>
            <w:r w:rsidRPr="009C3528">
              <w:rPr>
                <w:rFonts w:cs="Calibri Light"/>
                <w:color w:val="000000" w:themeColor="text1"/>
                <w:sz w:val="18"/>
                <w:szCs w:val="18"/>
              </w:rPr>
              <w:br/>
              <w:t>bez negocjacji</w:t>
            </w:r>
            <w:r w:rsidRPr="009C3528">
              <w:rPr>
                <w:rFonts w:cs="Calibri Light"/>
                <w:color w:val="000000" w:themeColor="text1"/>
                <w:sz w:val="18"/>
                <w:szCs w:val="18"/>
              </w:rPr>
              <w:br/>
              <w:t>(art. 275 pkt 1 ustawy Pzp)</w:t>
            </w:r>
          </w:p>
        </w:tc>
        <w:tc>
          <w:tcPr>
            <w:tcW w:w="2415" w:type="dxa"/>
            <w:tcBorders>
              <w:top w:val="none" w:sz="0" w:space="0" w:color="auto"/>
              <w:bottom w:val="none" w:sz="0" w:space="0" w:color="auto"/>
            </w:tcBorders>
            <w:vAlign w:val="center"/>
          </w:tcPr>
          <w:p w:rsidR="00F67EEF" w:rsidRPr="009C3528" w:rsidRDefault="00F67EEF" w:rsidP="006956FA">
            <w:pPr>
              <w:autoSpaceDE w:val="0"/>
              <w:autoSpaceDN w:val="0"/>
              <w:adjustRightInd w:val="0"/>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b/>
                <w:sz w:val="18"/>
                <w:szCs w:val="18"/>
              </w:rPr>
            </w:pPr>
            <w:r w:rsidRPr="009C3528">
              <w:rPr>
                <w:rFonts w:eastAsia="Times New Roman" w:cs="Calibri Light"/>
                <w:sz w:val="18"/>
                <w:szCs w:val="18"/>
              </w:rPr>
              <w:t>Świadczenie usług telefonii komórkowej i usług bezprzewodowej transmisji danych wraz z dostawą telefonów komórkowych</w:t>
            </w:r>
          </w:p>
        </w:tc>
        <w:tc>
          <w:tcPr>
            <w:cnfStyle w:val="000010000000" w:firstRow="0" w:lastRow="0" w:firstColumn="0" w:lastColumn="0" w:oddVBand="1"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vAlign w:val="center"/>
          </w:tcPr>
          <w:p w:rsidR="00F67EEF" w:rsidRPr="009C3528" w:rsidRDefault="00F67EEF" w:rsidP="006956FA">
            <w:pPr>
              <w:widowControl w:val="0"/>
              <w:spacing w:after="0"/>
              <w:ind w:firstLine="0"/>
              <w:jc w:val="center"/>
              <w:rPr>
                <w:rFonts w:cs="Calibri Light"/>
                <w:iCs/>
                <w:sz w:val="18"/>
                <w:szCs w:val="18"/>
              </w:rPr>
            </w:pPr>
            <w:r>
              <w:rPr>
                <w:rFonts w:cs="Calibri Light"/>
                <w:bCs/>
                <w:sz w:val="18"/>
                <w:szCs w:val="18"/>
              </w:rPr>
              <w:t>514 854,00 zł</w:t>
            </w:r>
          </w:p>
        </w:tc>
        <w:tc>
          <w:tcPr>
            <w:tcW w:w="1564" w:type="dxa"/>
            <w:tcBorders>
              <w:top w:val="none" w:sz="0" w:space="0" w:color="auto"/>
              <w:bottom w:val="none" w:sz="0" w:space="0" w:color="auto"/>
            </w:tcBorders>
            <w:vAlign w:val="center"/>
          </w:tcPr>
          <w:p w:rsidR="00F67EEF" w:rsidRPr="009C3528" w:rsidRDefault="00F67EEF" w:rsidP="006956FA">
            <w:pPr>
              <w:widowControl w:val="0"/>
              <w:spacing w:after="0"/>
              <w:ind w:firstLine="0"/>
              <w:jc w:val="center"/>
              <w:cnfStyle w:val="000000100000" w:firstRow="0" w:lastRow="0" w:firstColumn="0" w:lastColumn="0" w:oddVBand="0" w:evenVBand="0" w:oddHBand="1" w:evenHBand="0" w:firstRowFirstColumn="0" w:firstRowLastColumn="0" w:lastRowFirstColumn="0" w:lastRowLastColumn="0"/>
              <w:rPr>
                <w:rFonts w:cs="Calibri Light"/>
                <w:color w:val="000000" w:themeColor="text1"/>
                <w:sz w:val="18"/>
                <w:szCs w:val="18"/>
              </w:rPr>
            </w:pPr>
            <w:r w:rsidRPr="009C3528">
              <w:rPr>
                <w:rFonts w:cs="Calibri Light"/>
                <w:color w:val="000000" w:themeColor="text1"/>
                <w:sz w:val="18"/>
                <w:szCs w:val="18"/>
              </w:rPr>
              <w:t>DAZ/ZP/6/2022</w:t>
            </w:r>
          </w:p>
        </w:tc>
        <w:tc>
          <w:tcPr>
            <w:cnfStyle w:val="000100000000" w:firstRow="0" w:lastRow="0" w:firstColumn="0" w:lastColumn="1" w:oddVBand="0" w:evenVBand="0" w:oddHBand="0" w:evenHBand="0" w:firstRowFirstColumn="0" w:firstRowLastColumn="0" w:lastRowFirstColumn="0" w:lastRowLastColumn="0"/>
            <w:tcW w:w="1428" w:type="dxa"/>
            <w:tcBorders>
              <w:top w:val="none" w:sz="0" w:space="0" w:color="auto"/>
              <w:bottom w:val="none" w:sz="0" w:space="0" w:color="auto"/>
              <w:right w:val="none" w:sz="0" w:space="0" w:color="auto"/>
            </w:tcBorders>
            <w:vAlign w:val="center"/>
          </w:tcPr>
          <w:p w:rsidR="00F67EEF" w:rsidRDefault="006956FA"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Postępowanie w </w:t>
            </w:r>
            <w:r w:rsidR="00F67EEF">
              <w:rPr>
                <w:rFonts w:cs="Calibri Light"/>
                <w:b w:val="0"/>
                <w:color w:val="000000" w:themeColor="text1"/>
                <w:sz w:val="18"/>
                <w:szCs w:val="18"/>
              </w:rPr>
              <w:t>toku</w:t>
            </w:r>
          </w:p>
        </w:tc>
      </w:tr>
      <w:tr w:rsidR="00F67EEF" w:rsidRPr="005977CC" w:rsidTr="006956FA">
        <w:trPr>
          <w:trHeight w:val="140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F67EEF"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8.</w:t>
            </w:r>
          </w:p>
        </w:tc>
        <w:tc>
          <w:tcPr>
            <w:cnfStyle w:val="000010000000" w:firstRow="0" w:lastRow="0" w:firstColumn="0" w:lastColumn="0" w:oddVBand="1" w:evenVBand="0" w:oddHBand="0" w:evenHBand="0" w:firstRowFirstColumn="0" w:firstRowLastColumn="0" w:lastRowFirstColumn="0" w:lastRowLastColumn="0"/>
            <w:tcW w:w="1843" w:type="dxa"/>
            <w:tcBorders>
              <w:left w:val="none" w:sz="0" w:space="0" w:color="auto"/>
              <w:right w:val="none" w:sz="0" w:space="0" w:color="auto"/>
            </w:tcBorders>
            <w:vAlign w:val="center"/>
          </w:tcPr>
          <w:p w:rsidR="00F67EEF" w:rsidRPr="00015CB2" w:rsidRDefault="00F67EEF" w:rsidP="006956FA">
            <w:pPr>
              <w:widowControl w:val="0"/>
              <w:spacing w:after="0"/>
              <w:ind w:firstLine="0"/>
              <w:jc w:val="center"/>
              <w:rPr>
                <w:rFonts w:cs="Calibri Light"/>
                <w:b/>
                <w:color w:val="000000" w:themeColor="text1"/>
                <w:sz w:val="18"/>
                <w:szCs w:val="18"/>
              </w:rPr>
            </w:pPr>
            <w:r w:rsidRPr="00B9223A">
              <w:rPr>
                <w:rFonts w:cs="Calibri Light"/>
                <w:color w:val="000000" w:themeColor="text1"/>
                <w:sz w:val="18"/>
                <w:szCs w:val="18"/>
              </w:rPr>
              <w:t xml:space="preserve">Przetarg nieograniczony </w:t>
            </w:r>
            <w:r w:rsidRPr="00B9223A">
              <w:rPr>
                <w:rFonts w:cs="Calibri Light"/>
                <w:color w:val="000000" w:themeColor="text1"/>
                <w:sz w:val="18"/>
                <w:szCs w:val="18"/>
              </w:rPr>
              <w:br/>
              <w:t>(art. 132 ustawy Pzp)</w:t>
            </w:r>
          </w:p>
        </w:tc>
        <w:tc>
          <w:tcPr>
            <w:tcW w:w="2415" w:type="dxa"/>
            <w:vAlign w:val="center"/>
          </w:tcPr>
          <w:p w:rsidR="00F67EEF" w:rsidRPr="00990BB6" w:rsidRDefault="00F67EEF" w:rsidP="006956FA">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cs="Calibri Light"/>
                <w:sz w:val="18"/>
                <w:szCs w:val="18"/>
              </w:rPr>
            </w:pPr>
            <w:r w:rsidRPr="00990BB6">
              <w:rPr>
                <w:rFonts w:cs="Calibri Light"/>
                <w:spacing w:val="-3"/>
                <w:sz w:val="18"/>
                <w:szCs w:val="18"/>
              </w:rPr>
              <w:t>Przeprowadzenie przez uprawniony podmiot badania sprawozdań finansowych Bankowego Funduszu Gwarancyjnego za lata 2022 – 2025</w:t>
            </w:r>
          </w:p>
        </w:tc>
        <w:tc>
          <w:tcPr>
            <w:cnfStyle w:val="000010000000" w:firstRow="0" w:lastRow="0" w:firstColumn="0" w:lastColumn="0" w:oddVBand="1" w:evenVBand="0" w:oddHBand="0" w:evenHBand="0" w:firstRowFirstColumn="0" w:firstRowLastColumn="0" w:lastRowFirstColumn="0" w:lastRowLastColumn="0"/>
            <w:tcW w:w="1554" w:type="dxa"/>
            <w:tcBorders>
              <w:left w:val="none" w:sz="0" w:space="0" w:color="auto"/>
              <w:right w:val="none" w:sz="0" w:space="0" w:color="auto"/>
            </w:tcBorders>
            <w:vAlign w:val="center"/>
          </w:tcPr>
          <w:p w:rsidR="00F67EEF" w:rsidRPr="009C3528" w:rsidRDefault="00F67EEF" w:rsidP="006956FA">
            <w:pPr>
              <w:widowControl w:val="0"/>
              <w:spacing w:after="0"/>
              <w:ind w:firstLine="0"/>
              <w:jc w:val="center"/>
              <w:rPr>
                <w:rFonts w:cs="Calibri Light"/>
                <w:iCs/>
                <w:sz w:val="18"/>
                <w:szCs w:val="18"/>
              </w:rPr>
            </w:pPr>
            <w:r>
              <w:rPr>
                <w:rFonts w:cs="Calibri Light"/>
                <w:bCs/>
                <w:sz w:val="18"/>
                <w:szCs w:val="18"/>
              </w:rPr>
              <w:t>1 056 560,00 zł</w:t>
            </w:r>
          </w:p>
        </w:tc>
        <w:tc>
          <w:tcPr>
            <w:tcW w:w="1564" w:type="dxa"/>
            <w:vAlign w:val="center"/>
          </w:tcPr>
          <w:p w:rsidR="00F67EEF" w:rsidRPr="009C3528" w:rsidRDefault="00F67EEF" w:rsidP="006956FA">
            <w:pPr>
              <w:widowControl w:val="0"/>
              <w:spacing w:after="0"/>
              <w:ind w:firstLine="0"/>
              <w:jc w:val="center"/>
              <w:cnfStyle w:val="000000000000" w:firstRow="0" w:lastRow="0" w:firstColumn="0" w:lastColumn="0" w:oddVBand="0" w:evenVBand="0" w:oddHBand="0" w:evenHBand="0" w:firstRowFirstColumn="0" w:firstRowLastColumn="0" w:lastRowFirstColumn="0" w:lastRowLastColumn="0"/>
              <w:rPr>
                <w:rFonts w:cs="Calibri Light"/>
                <w:color w:val="000000" w:themeColor="text1"/>
                <w:sz w:val="18"/>
                <w:szCs w:val="18"/>
              </w:rPr>
            </w:pPr>
            <w:r w:rsidRPr="009C3528">
              <w:rPr>
                <w:rFonts w:cs="Calibri Light"/>
                <w:color w:val="000000" w:themeColor="text1"/>
                <w:sz w:val="18"/>
                <w:szCs w:val="18"/>
              </w:rPr>
              <w:t>DAZ/ZP/7/2022</w:t>
            </w:r>
          </w:p>
        </w:tc>
        <w:tc>
          <w:tcPr>
            <w:cnfStyle w:val="000100000000" w:firstRow="0" w:lastRow="0" w:firstColumn="0" w:lastColumn="1" w:oddVBand="0" w:evenVBand="0" w:oddHBand="0" w:evenHBand="0" w:firstRowFirstColumn="0" w:firstRowLastColumn="0" w:lastRowFirstColumn="0" w:lastRowLastColumn="0"/>
            <w:tcW w:w="1428" w:type="dxa"/>
            <w:vAlign w:val="center"/>
          </w:tcPr>
          <w:p w:rsidR="00F67EEF"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Przygotowanie postępowania</w:t>
            </w:r>
          </w:p>
        </w:tc>
      </w:tr>
      <w:tr w:rsidR="00F67EEF" w:rsidRPr="005977CC" w:rsidTr="006956FA">
        <w:trPr>
          <w:cnfStyle w:val="010000000000" w:firstRow="0" w:lastRow="1" w:firstColumn="0" w:lastColumn="0" w:oddVBand="0" w:evenVBand="0" w:oddHBand="0" w:evenHBand="0" w:firstRowFirstColumn="0" w:firstRowLastColumn="0" w:lastRowFirstColumn="0" w:lastRowLastColumn="0"/>
          <w:trHeight w:val="944"/>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tcBorders>
            <w:vAlign w:val="center"/>
          </w:tcPr>
          <w:p w:rsidR="00F67EEF" w:rsidRDefault="00F67EEF" w:rsidP="006956FA">
            <w:pPr>
              <w:widowControl w:val="0"/>
              <w:spacing w:after="0"/>
              <w:ind w:left="-113" w:firstLine="113"/>
              <w:jc w:val="center"/>
              <w:rPr>
                <w:rFonts w:cs="Calibri Light"/>
                <w:b w:val="0"/>
                <w:color w:val="000000" w:themeColor="text1"/>
                <w:sz w:val="18"/>
                <w:szCs w:val="18"/>
              </w:rPr>
            </w:pPr>
            <w:r>
              <w:rPr>
                <w:rFonts w:cs="Calibri Light"/>
                <w:b w:val="0"/>
                <w:color w:val="000000" w:themeColor="text1"/>
                <w:sz w:val="18"/>
                <w:szCs w:val="18"/>
              </w:rPr>
              <w:t>9.</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rsidR="00F67EEF" w:rsidRPr="009C3528" w:rsidRDefault="00F67EEF" w:rsidP="006956FA">
            <w:pPr>
              <w:widowControl w:val="0"/>
              <w:spacing w:after="0"/>
              <w:ind w:firstLine="0"/>
              <w:jc w:val="center"/>
              <w:rPr>
                <w:rFonts w:cs="Calibri Light"/>
                <w:b w:val="0"/>
                <w:color w:val="000000" w:themeColor="text1"/>
                <w:sz w:val="18"/>
                <w:szCs w:val="18"/>
              </w:rPr>
            </w:pPr>
            <w:r w:rsidRPr="009C3528">
              <w:rPr>
                <w:rFonts w:cs="Calibri Light"/>
                <w:b w:val="0"/>
                <w:color w:val="000000" w:themeColor="text1"/>
                <w:sz w:val="18"/>
                <w:szCs w:val="18"/>
              </w:rPr>
              <w:t xml:space="preserve">Tryb podstawowy </w:t>
            </w:r>
            <w:r w:rsidRPr="009C3528">
              <w:rPr>
                <w:rFonts w:cs="Calibri Light"/>
                <w:b w:val="0"/>
                <w:color w:val="000000" w:themeColor="text1"/>
                <w:sz w:val="18"/>
                <w:szCs w:val="18"/>
              </w:rPr>
              <w:br/>
              <w:t>bez negocjacji</w:t>
            </w:r>
            <w:r w:rsidRPr="009C3528">
              <w:rPr>
                <w:rFonts w:cs="Calibri Light"/>
                <w:b w:val="0"/>
                <w:color w:val="000000" w:themeColor="text1"/>
                <w:sz w:val="18"/>
                <w:szCs w:val="18"/>
              </w:rPr>
              <w:br/>
              <w:t>(art. 275 pkt 1 ustawy Pzp)</w:t>
            </w:r>
          </w:p>
        </w:tc>
        <w:tc>
          <w:tcPr>
            <w:tcW w:w="2415" w:type="dxa"/>
            <w:tcBorders>
              <w:top w:val="none" w:sz="0" w:space="0" w:color="auto"/>
              <w:bottom w:val="none" w:sz="0" w:space="0" w:color="auto"/>
            </w:tcBorders>
            <w:vAlign w:val="center"/>
          </w:tcPr>
          <w:p w:rsidR="00F67EEF" w:rsidRPr="00990BB6" w:rsidRDefault="00F67EEF" w:rsidP="006956FA">
            <w:pPr>
              <w:autoSpaceDE w:val="0"/>
              <w:autoSpaceDN w:val="0"/>
              <w:adjustRightInd w:val="0"/>
              <w:spacing w:after="0"/>
              <w:ind w:firstLine="0"/>
              <w:jc w:val="center"/>
              <w:cnfStyle w:val="010000000000" w:firstRow="0" w:lastRow="1" w:firstColumn="0" w:lastColumn="0" w:oddVBand="0" w:evenVBand="0" w:oddHBand="0" w:evenHBand="0" w:firstRowFirstColumn="0" w:firstRowLastColumn="0" w:lastRowFirstColumn="0" w:lastRowLastColumn="0"/>
              <w:rPr>
                <w:rFonts w:eastAsiaTheme="minorHAnsi" w:cs="Calibri Light"/>
                <w:b w:val="0"/>
                <w:color w:val="000000"/>
                <w:sz w:val="18"/>
                <w:szCs w:val="18"/>
                <w:lang w:eastAsia="en-US"/>
              </w:rPr>
            </w:pPr>
            <w:r w:rsidRPr="00990BB6">
              <w:rPr>
                <w:rFonts w:eastAsiaTheme="minorHAnsi" w:cs="Calibri Light"/>
                <w:b w:val="0"/>
                <w:color w:val="000000"/>
                <w:sz w:val="18"/>
                <w:szCs w:val="18"/>
                <w:lang w:eastAsia="en-US"/>
              </w:rPr>
              <w:t>Wymiana drzwi przeciwpożarowych w części nadziemnej budynku</w:t>
            </w:r>
          </w:p>
          <w:p w:rsidR="00F67EEF" w:rsidRPr="00990BB6" w:rsidRDefault="00F67EEF" w:rsidP="006956FA">
            <w:pPr>
              <w:autoSpaceDE w:val="0"/>
              <w:autoSpaceDN w:val="0"/>
              <w:adjustRightInd w:val="0"/>
              <w:spacing w:after="0"/>
              <w:ind w:firstLine="0"/>
              <w:jc w:val="center"/>
              <w:cnfStyle w:val="010000000000" w:firstRow="0" w:lastRow="1" w:firstColumn="0" w:lastColumn="0" w:oddVBand="0" w:evenVBand="0" w:oddHBand="0" w:evenHBand="0" w:firstRowFirstColumn="0" w:firstRowLastColumn="0" w:lastRowFirstColumn="0" w:lastRowLastColumn="0"/>
              <w:rPr>
                <w:rFonts w:eastAsia="Times New Roman" w:cs="Calibri Light"/>
                <w:b w:val="0"/>
                <w:sz w:val="18"/>
                <w:szCs w:val="18"/>
              </w:rPr>
            </w:pPr>
          </w:p>
        </w:tc>
        <w:tc>
          <w:tcPr>
            <w:cnfStyle w:val="000010000000" w:firstRow="0" w:lastRow="0" w:firstColumn="0" w:lastColumn="0" w:oddVBand="1"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vAlign w:val="center"/>
          </w:tcPr>
          <w:p w:rsidR="00F67EEF" w:rsidRDefault="00F67EEF" w:rsidP="006956FA">
            <w:pPr>
              <w:widowControl w:val="0"/>
              <w:spacing w:after="0"/>
              <w:ind w:firstLine="0"/>
              <w:jc w:val="center"/>
              <w:rPr>
                <w:rFonts w:cs="Calibri Light"/>
                <w:b w:val="0"/>
                <w:iCs/>
                <w:sz w:val="18"/>
                <w:szCs w:val="18"/>
              </w:rPr>
            </w:pPr>
            <w:r>
              <w:rPr>
                <w:rFonts w:cs="Calibri Light"/>
                <w:b w:val="0"/>
                <w:iCs/>
                <w:sz w:val="18"/>
                <w:szCs w:val="18"/>
              </w:rPr>
              <w:t>208 658,76 zł</w:t>
            </w:r>
          </w:p>
        </w:tc>
        <w:tc>
          <w:tcPr>
            <w:tcW w:w="1564" w:type="dxa"/>
            <w:tcBorders>
              <w:top w:val="none" w:sz="0" w:space="0" w:color="auto"/>
              <w:bottom w:val="none" w:sz="0" w:space="0" w:color="auto"/>
            </w:tcBorders>
            <w:vAlign w:val="center"/>
          </w:tcPr>
          <w:p w:rsidR="00F67EEF" w:rsidRPr="009C3528" w:rsidRDefault="00F67EEF" w:rsidP="006956FA">
            <w:pPr>
              <w:widowControl w:val="0"/>
              <w:spacing w:after="0"/>
              <w:ind w:firstLine="0"/>
              <w:jc w:val="center"/>
              <w:cnfStyle w:val="010000000000" w:firstRow="0" w:lastRow="1" w:firstColumn="0" w:lastColumn="0" w:oddVBand="0" w:evenVBand="0" w:oddHBand="0" w:evenHBand="0" w:firstRowFirstColumn="0" w:firstRowLastColumn="0" w:lastRowFirstColumn="0" w:lastRowLastColumn="0"/>
              <w:rPr>
                <w:rFonts w:cs="Calibri Light"/>
                <w:b w:val="0"/>
                <w:color w:val="000000" w:themeColor="text1"/>
                <w:sz w:val="18"/>
                <w:szCs w:val="18"/>
              </w:rPr>
            </w:pPr>
            <w:r>
              <w:rPr>
                <w:rFonts w:cs="Calibri Light"/>
                <w:b w:val="0"/>
                <w:color w:val="000000" w:themeColor="text1"/>
                <w:sz w:val="18"/>
                <w:szCs w:val="18"/>
              </w:rPr>
              <w:t>DAZ/ZP/11</w:t>
            </w:r>
            <w:r w:rsidRPr="009C3528">
              <w:rPr>
                <w:rFonts w:cs="Calibri Light"/>
                <w:b w:val="0"/>
                <w:color w:val="000000" w:themeColor="text1"/>
                <w:sz w:val="18"/>
                <w:szCs w:val="18"/>
              </w:rPr>
              <w:t>/2022</w:t>
            </w:r>
          </w:p>
        </w:tc>
        <w:tc>
          <w:tcPr>
            <w:cnfStyle w:val="000100000000" w:firstRow="0" w:lastRow="0" w:firstColumn="0" w:lastColumn="1" w:oddVBand="0" w:evenVBand="0" w:oddHBand="0" w:evenHBand="0" w:firstRowFirstColumn="0" w:firstRowLastColumn="0" w:lastRowFirstColumn="0" w:lastRowLastColumn="0"/>
            <w:tcW w:w="1428" w:type="dxa"/>
            <w:tcBorders>
              <w:top w:val="none" w:sz="0" w:space="0" w:color="auto"/>
              <w:bottom w:val="none" w:sz="0" w:space="0" w:color="auto"/>
              <w:right w:val="none" w:sz="0" w:space="0" w:color="auto"/>
            </w:tcBorders>
            <w:vAlign w:val="center"/>
          </w:tcPr>
          <w:p w:rsidR="00F67EEF" w:rsidRDefault="00F67EEF" w:rsidP="006956FA">
            <w:pPr>
              <w:widowControl w:val="0"/>
              <w:spacing w:after="0"/>
              <w:ind w:firstLine="0"/>
              <w:jc w:val="center"/>
              <w:rPr>
                <w:rFonts w:cs="Calibri Light"/>
                <w:b w:val="0"/>
                <w:color w:val="000000" w:themeColor="text1"/>
                <w:sz w:val="18"/>
                <w:szCs w:val="18"/>
              </w:rPr>
            </w:pPr>
            <w:r>
              <w:rPr>
                <w:rFonts w:cs="Calibri Light"/>
                <w:b w:val="0"/>
                <w:color w:val="000000" w:themeColor="text1"/>
                <w:sz w:val="18"/>
                <w:szCs w:val="18"/>
              </w:rPr>
              <w:t>Przygotowanie postępowania</w:t>
            </w:r>
          </w:p>
        </w:tc>
      </w:tr>
    </w:tbl>
    <w:p w:rsidR="00BB2A5F" w:rsidRDefault="00C24561" w:rsidP="00C00785">
      <w:pPr>
        <w:pStyle w:val="Akapitzlist"/>
        <w:numPr>
          <w:ilvl w:val="0"/>
          <w:numId w:val="5"/>
        </w:numPr>
        <w:spacing w:before="240"/>
        <w:ind w:left="714" w:hanging="357"/>
        <w:contextualSpacing w:val="0"/>
        <w:rPr>
          <w:rFonts w:eastAsia="Times New Roman" w:cs="Calibri Light"/>
          <w:b/>
          <w:bCs/>
          <w:color w:val="2A5384"/>
          <w:sz w:val="28"/>
          <w:szCs w:val="26"/>
        </w:rPr>
      </w:pPr>
      <w:r w:rsidRPr="00DF679D">
        <w:rPr>
          <w:rFonts w:eastAsia="Times New Roman" w:cs="Calibri Light"/>
          <w:b/>
          <w:bCs/>
          <w:color w:val="2A5384"/>
          <w:sz w:val="28"/>
          <w:szCs w:val="26"/>
        </w:rPr>
        <w:t xml:space="preserve"> </w:t>
      </w:r>
      <w:r w:rsidR="00BB2A5F" w:rsidRPr="00DF679D">
        <w:rPr>
          <w:rFonts w:eastAsia="Times New Roman" w:cs="Calibri Light"/>
          <w:b/>
          <w:bCs/>
          <w:color w:val="2A5384"/>
          <w:sz w:val="28"/>
          <w:szCs w:val="26"/>
        </w:rPr>
        <w:t>Prace legislacyjne</w:t>
      </w:r>
    </w:p>
    <w:p w:rsidR="00C00785" w:rsidRPr="005B26FD" w:rsidRDefault="00C00785" w:rsidP="00C00785">
      <w:pPr>
        <w:pStyle w:val="Akapitzlist"/>
        <w:autoSpaceDE w:val="0"/>
        <w:autoSpaceDN w:val="0"/>
        <w:spacing w:after="120"/>
        <w:ind w:left="0"/>
        <w:contextualSpacing w:val="0"/>
        <w:rPr>
          <w:rFonts w:cs="Calibri Light"/>
        </w:rPr>
      </w:pPr>
      <w:r w:rsidRPr="005B26FD">
        <w:rPr>
          <w:rFonts w:cs="Calibri Light"/>
          <w:bCs/>
          <w:color w:val="000000"/>
        </w:rPr>
        <w:t xml:space="preserve">W trzecim kwartale 2022 r. (w dniu 1 lipca 2022 r.) weszła w życie zmiana do ustawy o BFG wprowadzona </w:t>
      </w:r>
      <w:r w:rsidRPr="005B26FD">
        <w:rPr>
          <w:rFonts w:cs="Calibri Light"/>
          <w:bCs/>
          <w:i/>
          <w:color w:val="000000"/>
        </w:rPr>
        <w:t>ustawą z dnia 20 maja 2021 r. o ochronie praw nabywcy lokalu mieszkalnego lub domu jednorodzinnego oraz Deweloperskim Funduszu Gwarancyjnym</w:t>
      </w:r>
      <w:r w:rsidRPr="005B26FD">
        <w:rPr>
          <w:rFonts w:cs="Calibri Light"/>
          <w:bCs/>
          <w:color w:val="000000"/>
        </w:rPr>
        <w:t xml:space="preserve"> (Dz. U. poz. 1177), mająca na celu uwzględnienie w procesie dokonywania wypłat środków gwarantowanych ustanowienia </w:t>
      </w:r>
      <w:r w:rsidRPr="005B26FD">
        <w:rPr>
          <w:rFonts w:cs="Calibri Light"/>
        </w:rPr>
        <w:t>Deweloperskiego Funduszu Gwarancyjnego (dodanie do ustawy o BFG art. 15 ust. 2a,</w:t>
      </w:r>
      <w:r>
        <w:rPr>
          <w:rFonts w:cs="Calibri Light"/>
        </w:rPr>
        <w:t xml:space="preserve"> art. 47a, i </w:t>
      </w:r>
      <w:r w:rsidRPr="005B26FD">
        <w:rPr>
          <w:rFonts w:cs="Calibri Light"/>
        </w:rPr>
        <w:t>zmiana art. 39 ust. 3).</w:t>
      </w:r>
    </w:p>
    <w:p w:rsidR="00C00785" w:rsidRPr="005B26FD" w:rsidRDefault="00C00785" w:rsidP="00C00785">
      <w:pPr>
        <w:pStyle w:val="Akapitzlist"/>
        <w:autoSpaceDE w:val="0"/>
        <w:autoSpaceDN w:val="0"/>
        <w:spacing w:after="120"/>
        <w:ind w:left="0"/>
        <w:contextualSpacing w:val="0"/>
        <w:rPr>
          <w:rFonts w:cs="Calibri Light"/>
          <w:bCs/>
          <w:color w:val="000000"/>
        </w:rPr>
      </w:pPr>
      <w:r w:rsidRPr="005B26FD">
        <w:rPr>
          <w:rFonts w:cs="Calibri Light"/>
        </w:rPr>
        <w:t xml:space="preserve">12 sierpnia 2022 r. weszły w życie zmiany do ustawy o BFG wprowadzone </w:t>
      </w:r>
      <w:r>
        <w:rPr>
          <w:rFonts w:cs="Calibri Light"/>
          <w:i/>
        </w:rPr>
        <w:t>ustawą z dnia 5 </w:t>
      </w:r>
      <w:r w:rsidRPr="005B26FD">
        <w:rPr>
          <w:rFonts w:cs="Calibri Light"/>
          <w:i/>
        </w:rPr>
        <w:t>sierpnia 2022 r. o dodatku węglowym</w:t>
      </w:r>
      <w:r w:rsidRPr="005B26FD">
        <w:rPr>
          <w:rFonts w:cs="Calibri Light"/>
        </w:rPr>
        <w:t xml:space="preserve"> (Dz. U. poz. 1692 z późn. zm.). Zmiany zostały wprowadzone w art. 174 ustawy o BFG . Ponadto ustawą o </w:t>
      </w:r>
      <w:r>
        <w:rPr>
          <w:rFonts w:cs="Calibri Light"/>
        </w:rPr>
        <w:t>dodatku węglowym wprowadzono (w </w:t>
      </w:r>
      <w:r w:rsidRPr="005B26FD">
        <w:rPr>
          <w:rFonts w:cs="Calibri Light"/>
        </w:rPr>
        <w:t xml:space="preserve">art. 10) zmiany do </w:t>
      </w:r>
      <w:r w:rsidRPr="005B26FD">
        <w:rPr>
          <w:rFonts w:cs="Calibri Light"/>
          <w:i/>
        </w:rPr>
        <w:t>ustawy z dnia 29 sierpnia 1997 r. – Prawo bankowe</w:t>
      </w:r>
      <w:r w:rsidRPr="005B26FD">
        <w:rPr>
          <w:rFonts w:cs="Calibri Light"/>
        </w:rPr>
        <w:t xml:space="preserve"> dotyczące wsparcia udzielanego w przymusowej restrukturyzacji przez system ochr</w:t>
      </w:r>
      <w:r>
        <w:rPr>
          <w:rFonts w:cs="Calibri Light"/>
        </w:rPr>
        <w:t>ony banków komercyjnych oraz (w </w:t>
      </w:r>
      <w:r w:rsidRPr="005B26FD">
        <w:rPr>
          <w:rFonts w:cs="Calibri Light"/>
        </w:rPr>
        <w:t xml:space="preserve">art. 13) zmiany do </w:t>
      </w:r>
      <w:r w:rsidRPr="005B26FD">
        <w:rPr>
          <w:rFonts w:cs="Calibri Light"/>
          <w:i/>
        </w:rPr>
        <w:t>ustawy z dnia 12 lutego 2009 r. o udzielaniu przez Skarb Państwa wsparcia instytucjom finansowym</w:t>
      </w:r>
      <w:r w:rsidRPr="005B26FD">
        <w:rPr>
          <w:rFonts w:cs="Calibri Light"/>
        </w:rPr>
        <w:t>. W ramach</w:t>
      </w:r>
      <w:r w:rsidRPr="005B26FD">
        <w:rPr>
          <w:rFonts w:cs="Calibri Light"/>
          <w:bCs/>
          <w:color w:val="000000"/>
        </w:rPr>
        <w:t xml:space="preserve"> tej zmiany wprowadzono możliwość udzielania wsparcia przez Skarb Państwa w związku z wszczęciem przymusowej restrukturyzacji. Wsparcie to polega na możliwości odkupu przez Skarb Państwa, w imieniu którego działa minister właściwy do spraw finansów publicznych, od podmiotu w restrukturyzacji skarbowych papierów wartościowych po cenie równej wartości nominalnej powiększonej o narosłe odsetki na dzień rozrachunku odkupu w drodze oferty kierowanej do podmiotu w restrukturyzacji.</w:t>
      </w:r>
    </w:p>
    <w:p w:rsidR="00C00785" w:rsidRPr="005B26FD" w:rsidRDefault="00C00785" w:rsidP="00C00785">
      <w:pPr>
        <w:pStyle w:val="Akapitzlist"/>
        <w:autoSpaceDE w:val="0"/>
        <w:autoSpaceDN w:val="0"/>
        <w:spacing w:after="120"/>
        <w:ind w:left="0"/>
        <w:contextualSpacing w:val="0"/>
        <w:rPr>
          <w:rFonts w:cs="Calibri Light"/>
          <w:bCs/>
          <w:color w:val="000000"/>
        </w:rPr>
      </w:pPr>
      <w:r w:rsidRPr="005B26FD">
        <w:rPr>
          <w:rFonts w:cs="Calibri Light"/>
          <w:bCs/>
          <w:color w:val="000000"/>
        </w:rPr>
        <w:t xml:space="preserve">W okresie sprawozdawczym kontynuowane były również prace legislacyjne nad projektem </w:t>
      </w:r>
      <w:r w:rsidRPr="005B26FD">
        <w:rPr>
          <w:rFonts w:cs="Calibri Light"/>
          <w:bCs/>
          <w:i/>
          <w:color w:val="000000"/>
        </w:rPr>
        <w:t>ustawy o zmianie ustawy o obligacjach oraz niektórych innych ustaw</w:t>
      </w:r>
      <w:r w:rsidRPr="005B26FD">
        <w:rPr>
          <w:rFonts w:cs="Calibri Light"/>
          <w:bCs/>
          <w:color w:val="000000"/>
        </w:rPr>
        <w:t xml:space="preserve"> (UC32). Projektowana ustawa ma na celu m.in. określenie zasad emisji instrumentów kapitałowych, w tym nowej kategorii obligacji w postaci obligacji kapitałowych, kwalifikowanych do </w:t>
      </w:r>
      <w:r>
        <w:rPr>
          <w:rFonts w:cs="Calibri Light"/>
          <w:bCs/>
          <w:color w:val="000000"/>
        </w:rPr>
        <w:t>kapitału regulacyjnego banków i </w:t>
      </w:r>
      <w:r w:rsidRPr="005B26FD">
        <w:rPr>
          <w:rFonts w:cs="Calibri Light"/>
          <w:bCs/>
          <w:color w:val="000000"/>
        </w:rPr>
        <w:t>domów maklerskich albo środków własnych zakładów ubezpieczeń i zakładów reasekuracji zgodnie z właściwymi przepisami prawa Unii Europejskiej. Projektowane rozwiązania zmierzają przede wszystkim do zniesienia barier w odniesieniu do emisji instrumentów, które będą mogły być zaliczane do tzw. kapitału dodatkowego Tier I i Tier II banków i domów maklerskich oraz klasyfikowane do środków własnych jako pozycje tzw. podstawowych środków własnych kategorii 1, kategorii 2 i kategorii 3 – w przypadku zakładów ubezpieczeń i zakładów reasekuracji. Wprowadzenie proje</w:t>
      </w:r>
      <w:r>
        <w:rPr>
          <w:rFonts w:cs="Calibri Light"/>
          <w:bCs/>
          <w:color w:val="000000"/>
        </w:rPr>
        <w:t>ktowanych zmian ułatwi bankom i </w:t>
      </w:r>
      <w:r w:rsidRPr="005B26FD">
        <w:rPr>
          <w:rFonts w:cs="Calibri Light"/>
          <w:bCs/>
          <w:color w:val="000000"/>
        </w:rPr>
        <w:t xml:space="preserve">firmom inwestycyjnym spełnianie wymogów MREL, poprzez poszerzenie puli instrumentów, poprzez emisję których wymóg ten będzie mógł zostać spełniony. </w:t>
      </w:r>
    </w:p>
    <w:p w:rsidR="00C00785" w:rsidRPr="005B26FD" w:rsidRDefault="00C00785" w:rsidP="00055306">
      <w:pPr>
        <w:pStyle w:val="Akapitzlist"/>
        <w:autoSpaceDE w:val="0"/>
        <w:autoSpaceDN w:val="0"/>
        <w:spacing w:after="120"/>
        <w:ind w:left="0"/>
        <w:contextualSpacing w:val="0"/>
        <w:rPr>
          <w:rFonts w:cs="Calibri Light"/>
          <w:bCs/>
          <w:color w:val="000000"/>
        </w:rPr>
      </w:pPr>
      <w:r w:rsidRPr="005B26FD">
        <w:rPr>
          <w:rFonts w:cs="Calibri Light"/>
          <w:bCs/>
          <w:color w:val="000000"/>
        </w:rPr>
        <w:t xml:space="preserve">Odrębny obszar zmian zawartych w projekcie obejmuje rozwiązania służące stosowaniu </w:t>
      </w:r>
      <w:r w:rsidRPr="005B26FD">
        <w:rPr>
          <w:rFonts w:cs="Calibri Light"/>
          <w:bCs/>
          <w:i/>
          <w:color w:val="000000"/>
        </w:rPr>
        <w:t>rozporządzenia Parlamentu Europejskiego i Rady (UE) 2021</w:t>
      </w:r>
      <w:r>
        <w:rPr>
          <w:rFonts w:cs="Calibri Light"/>
          <w:bCs/>
          <w:i/>
          <w:color w:val="000000"/>
        </w:rPr>
        <w:t>/23 z dnia 16 grudnia 2020 r. w </w:t>
      </w:r>
      <w:r w:rsidRPr="005B26FD">
        <w:rPr>
          <w:rFonts w:cs="Calibri Light"/>
          <w:bCs/>
          <w:i/>
          <w:color w:val="000000"/>
        </w:rPr>
        <w:t>sprawie ram na potrzeby prowadzenia działań napr</w:t>
      </w:r>
      <w:r>
        <w:rPr>
          <w:rFonts w:cs="Calibri Light"/>
          <w:bCs/>
          <w:i/>
          <w:color w:val="000000"/>
        </w:rPr>
        <w:t>awczych oraz restrukturyzacji i </w:t>
      </w:r>
      <w:r w:rsidRPr="005B26FD">
        <w:rPr>
          <w:rFonts w:cs="Calibri Light"/>
          <w:bCs/>
          <w:i/>
          <w:color w:val="000000"/>
        </w:rPr>
        <w:t>uporządkowanej likwidacji w odniesieniu do kontrahentów centralnych oraz zmieniające rozporządzenia (UE) nr 1095/2010, (UE) nr 648/2012, (UE) nr 600/2014, (UE) nr 806/2014 i (UE) 2015/2365 oraz dyrektywy 2002/47/WE, 2004/25/WE, 2007/36/WE, 2014/59/UE i (UE) 2017/1132</w:t>
      </w:r>
      <w:r w:rsidRPr="005B26FD">
        <w:rPr>
          <w:rFonts w:cs="Calibri Light"/>
          <w:bCs/>
          <w:color w:val="000000"/>
        </w:rPr>
        <w:t xml:space="preserve"> (Dz. Urz. UE L 22 z 22.01.2021, str. 1), dalej: „rozporządzenie nr 2021/23”. Ustanawia ono ramy dla działań naprawczych (recovery) oraz restrukturyzacji i uporządkowanej li</w:t>
      </w:r>
      <w:r>
        <w:rPr>
          <w:rFonts w:cs="Calibri Light"/>
          <w:bCs/>
          <w:color w:val="000000"/>
        </w:rPr>
        <w:t>kwidacji (resolution) dla CCP w </w:t>
      </w:r>
      <w:r w:rsidRPr="005B26FD">
        <w:rPr>
          <w:rFonts w:cs="Calibri Light"/>
          <w:bCs/>
          <w:color w:val="000000"/>
        </w:rPr>
        <w:t>Unii Europejskiej. Rozwiązania te zostały wprowadzone do u</w:t>
      </w:r>
      <w:r>
        <w:rPr>
          <w:rFonts w:cs="Calibri Light"/>
          <w:bCs/>
          <w:color w:val="000000"/>
        </w:rPr>
        <w:t>stawy o BFG, ponieważ zgodnie z </w:t>
      </w:r>
      <w:r w:rsidRPr="005B26FD">
        <w:rPr>
          <w:rFonts w:cs="Calibri Light"/>
          <w:bCs/>
          <w:color w:val="000000"/>
        </w:rPr>
        <w:t xml:space="preserve">projektem to właśnie Fundusz ma być w Polsce organem resolution dla CCP. Z uwagi na charakter prawny rozporządzenia unijnego, które nie podlega implementacji i jest stosowane bezpośrednio, zmiany do ustawy o BFG mają charakter dostosowawczy. </w:t>
      </w:r>
    </w:p>
    <w:p w:rsidR="00C00785" w:rsidRPr="005B26FD" w:rsidRDefault="00C00785" w:rsidP="00C00785">
      <w:pPr>
        <w:pStyle w:val="Akapitzlist"/>
        <w:autoSpaceDE w:val="0"/>
        <w:autoSpaceDN w:val="0"/>
        <w:spacing w:after="120"/>
        <w:ind w:left="0"/>
        <w:contextualSpacing w:val="0"/>
        <w:rPr>
          <w:rFonts w:cs="Calibri Light"/>
          <w:bCs/>
          <w:color w:val="000000"/>
        </w:rPr>
      </w:pPr>
      <w:r w:rsidRPr="005B26FD">
        <w:rPr>
          <w:rFonts w:cs="Calibri Light"/>
          <w:bCs/>
          <w:color w:val="000000"/>
        </w:rPr>
        <w:t>W pracach legislacyjnych nad projektem tej ustawy obok uwag dotyczących roli Funduszu jako organu resolution dla CCP, Fundusz zgłosił również uwagi mające na celu wprowadzenie zmian niewynikających z tej roli, a uwzględniających dotychczasowe doświadczenia Funduszu, w tym: propozycję dodania przepisów dotyczących nakładania kar pieniężnych za niewykonanie albo nieterminowe lub nierzetelne wykonywanie obowiązków informacyjnych dotyczących wypełniania wymogu MREL (propozycja dodania art. 99b do ustawy o BFG), innego niż proporcjonalny sposobu podziału zysku Funduszu (zmiana do art. 258 ustawy o BFG) oraz doprecyzowania przepisów dotyczących zasad odbudowy środków na finansowanie przymusowej restrukturyzacji banków i firm inwestycyjnych w przypadku obniżenia poziomu tych środków po osiągnięciu po raz pierwszy poziomu minimalnego, ale przed osiągnięciem poziomu docelowego (zmiana do art. 296 ustawy o BFG).</w:t>
      </w:r>
    </w:p>
    <w:p w:rsidR="00C00785" w:rsidRPr="005B26FD" w:rsidRDefault="00C00785" w:rsidP="00C00785">
      <w:pPr>
        <w:pStyle w:val="Akapitzlist"/>
        <w:autoSpaceDE w:val="0"/>
        <w:autoSpaceDN w:val="0"/>
        <w:spacing w:after="120"/>
        <w:ind w:left="0"/>
        <w:contextualSpacing w:val="0"/>
        <w:rPr>
          <w:rFonts w:cs="Calibri Light"/>
          <w:bCs/>
          <w:color w:val="000000"/>
        </w:rPr>
      </w:pPr>
      <w:r w:rsidRPr="005B26FD">
        <w:rPr>
          <w:rFonts w:cs="Calibri Light"/>
          <w:bCs/>
          <w:color w:val="000000"/>
        </w:rPr>
        <w:t xml:space="preserve">Ponadto Fundusz podtrzymał uwagi zgłoszone do ustawy o BFG w drugim kwartale 2022 r. podczas konsultacji publicznych projektu </w:t>
      </w:r>
      <w:r w:rsidRPr="005B26FD">
        <w:rPr>
          <w:rFonts w:cs="Calibri Light"/>
          <w:bCs/>
          <w:i/>
          <w:color w:val="000000"/>
        </w:rPr>
        <w:t>ustawy o zmianie ustawy o finansach publicznych oraz niektórych innych ustaw</w:t>
      </w:r>
      <w:r w:rsidRPr="005B26FD">
        <w:rPr>
          <w:rFonts w:cs="Calibri Light"/>
          <w:bCs/>
          <w:color w:val="000000"/>
        </w:rPr>
        <w:t xml:space="preserve"> (nr UD 327), w ramach których przekazał Ministrowi Finansów propozycje zmian do ustawy o BFG m.in. w zakresie gospodarki finansowej, dotyczące kontroli i wytycznych dla podmiotów otrzymujących wsparcie, wy</w:t>
      </w:r>
      <w:r>
        <w:rPr>
          <w:rFonts w:cs="Calibri Light"/>
          <w:bCs/>
          <w:color w:val="000000"/>
        </w:rPr>
        <w:t>datkowania środków nieujętych w </w:t>
      </w:r>
      <w:r w:rsidRPr="005B26FD">
        <w:rPr>
          <w:rFonts w:cs="Calibri Light"/>
          <w:bCs/>
          <w:color w:val="000000"/>
        </w:rPr>
        <w:t>planie finansowym na finansowanie zadań ustawowych oraz doprecyzowania p</w:t>
      </w:r>
      <w:r>
        <w:rPr>
          <w:rFonts w:cs="Calibri Light"/>
          <w:bCs/>
          <w:color w:val="000000"/>
        </w:rPr>
        <w:t>rzepisów w </w:t>
      </w:r>
      <w:r w:rsidRPr="005B26FD">
        <w:rPr>
          <w:rFonts w:cs="Calibri Light"/>
          <w:bCs/>
          <w:color w:val="000000"/>
        </w:rPr>
        <w:t xml:space="preserve">zakresie podstawy składki nadzwyczajnej na fundusze gwarancyjne. Fundusz przekazał również do ewentualnego wykorzystania – propozycje zmian (wraz z uzasadnieniem) do </w:t>
      </w:r>
      <w:r w:rsidRPr="005B26FD">
        <w:rPr>
          <w:rFonts w:cs="Calibri Light"/>
          <w:bCs/>
          <w:i/>
          <w:color w:val="000000"/>
        </w:rPr>
        <w:t>ustawy z dnia 12</w:t>
      </w:r>
      <w:r>
        <w:rPr>
          <w:rFonts w:cs="Calibri Light"/>
          <w:bCs/>
          <w:i/>
          <w:color w:val="000000"/>
        </w:rPr>
        <w:t xml:space="preserve"> lutego 2010 r. o </w:t>
      </w:r>
      <w:r w:rsidRPr="005B26FD">
        <w:rPr>
          <w:rFonts w:cs="Calibri Light"/>
          <w:bCs/>
          <w:i/>
          <w:color w:val="000000"/>
        </w:rPr>
        <w:t>rekapitalizacji niektórych instytucji oraz o rządowych instrumentach stabilizacji finansowej</w:t>
      </w:r>
      <w:r>
        <w:rPr>
          <w:rFonts w:cs="Calibri Light"/>
          <w:bCs/>
          <w:color w:val="000000"/>
        </w:rPr>
        <w:t xml:space="preserve"> (Dz. </w:t>
      </w:r>
      <w:r w:rsidRPr="005B26FD">
        <w:rPr>
          <w:rFonts w:cs="Calibri Light"/>
          <w:bCs/>
          <w:color w:val="000000"/>
        </w:rPr>
        <w:t>U. z 2022 r. poz. 396), które, w ocenie Funduszu, powinny zostać wprowadzone w celu umożliwienia stosowania wobec CCP rządowych instrumentów sta</w:t>
      </w:r>
      <w:r>
        <w:rPr>
          <w:rFonts w:cs="Calibri Light"/>
          <w:bCs/>
          <w:color w:val="000000"/>
        </w:rPr>
        <w:t>bilizacji finansowej (zgodnie z </w:t>
      </w:r>
      <w:r w:rsidRPr="005B26FD">
        <w:rPr>
          <w:rFonts w:cs="Calibri Light"/>
          <w:bCs/>
          <w:color w:val="000000"/>
        </w:rPr>
        <w:t>przywołaną ustawą do kompetencji Fundusz należy stosowanie rządowych instrumentów stabilizacji finansowej).</w:t>
      </w:r>
    </w:p>
    <w:p w:rsidR="00C24561" w:rsidRDefault="00C24561" w:rsidP="00055306">
      <w:pPr>
        <w:pStyle w:val="Akapitzlist"/>
        <w:numPr>
          <w:ilvl w:val="0"/>
          <w:numId w:val="5"/>
        </w:numPr>
        <w:spacing w:before="240"/>
        <w:ind w:left="714" w:hanging="357"/>
        <w:contextualSpacing w:val="0"/>
        <w:rPr>
          <w:rFonts w:eastAsia="Times New Roman" w:cs="Calibri Light"/>
          <w:b/>
          <w:bCs/>
          <w:color w:val="2A5384"/>
          <w:sz w:val="28"/>
          <w:szCs w:val="26"/>
        </w:rPr>
      </w:pPr>
      <w:r w:rsidRPr="00DF679D">
        <w:rPr>
          <w:rFonts w:eastAsia="Times New Roman" w:cs="Calibri Light"/>
          <w:b/>
          <w:bCs/>
          <w:color w:val="2A5384"/>
          <w:sz w:val="28"/>
          <w:szCs w:val="26"/>
        </w:rPr>
        <w:t xml:space="preserve"> Informacja dotycząca skarg na decyzje administracyjne Funduszu</w:t>
      </w:r>
    </w:p>
    <w:p w:rsidR="007C0EB7" w:rsidRPr="00B0168D" w:rsidRDefault="007C0EB7" w:rsidP="00B0168D">
      <w:pPr>
        <w:pStyle w:val="Akapitzlist"/>
        <w:spacing w:after="120"/>
        <w:ind w:left="284" w:firstLine="0"/>
        <w:rPr>
          <w:rFonts w:cs="Calibri Light"/>
          <w:i/>
          <w:u w:val="single"/>
        </w:rPr>
      </w:pPr>
      <w:r w:rsidRPr="00B0168D">
        <w:rPr>
          <w:rFonts w:cs="Calibri Light"/>
          <w:i/>
          <w:u w:val="single"/>
        </w:rPr>
        <w:t>Dotyczące decyzji administracyjnych Funduszu z dnia 15 stycznia 2020 r. w sprawie Podkarpackiego Banku Spółdzielczego w Sanoku</w:t>
      </w:r>
    </w:p>
    <w:p w:rsidR="007C0EB7" w:rsidRPr="00572AA3" w:rsidRDefault="007C0EB7" w:rsidP="00055306">
      <w:pPr>
        <w:spacing w:after="120"/>
        <w:rPr>
          <w:rFonts w:cs="Calibri Light"/>
        </w:rPr>
      </w:pPr>
      <w:r w:rsidRPr="00572AA3">
        <w:rPr>
          <w:rFonts w:cs="Calibri Light"/>
        </w:rPr>
        <w:t xml:space="preserve">W związku z decyzją Funduszu z dnia 15 stycznia 2020 r. w sprawie wszczęcia przymusowej restrukturyzacji wobec PBS w Sanoku (sygn. sprawy DPR.721.1.2019), umorzenia instrumentów kapitałowych Banku (sygn. sprawy DPR.721.1.2020), zastosowania instrumentu przymusowej restrukturyzacji wobec Banku (sygn. sprawy DPR.721.3.2020), powołania administratora Banku (sygn. sprawy DPR.721.2.2020), podjętą uchwałą nr 25/DPR/2020 Zarządu Bankowego Funduszu Gwarancyjnego z dnia 15 stycznia 2020 r., oraz decyzją Funduszu z dnia 15 stycznia 2020 r. w sprawie zawieszenia działalności Podkarpackiego Banku Spółdzielczego w Sanoku (sygn. sprawy DPR.721.4.2020), podjętą uchwałą nr 26/DPR/2020 Zarządu Bankowego Funduszu Gwarancyjnego dnia 15 stycznia 2020 r., do Funduszu wpłynęło 166 skarg na ww. decyzje administracyjne Funduszu. </w:t>
      </w:r>
    </w:p>
    <w:p w:rsidR="007C0EB7" w:rsidRPr="00572AA3" w:rsidRDefault="007C0EB7" w:rsidP="00B0168D">
      <w:pPr>
        <w:spacing w:after="120"/>
        <w:rPr>
          <w:rFonts w:cs="Calibri Light"/>
        </w:rPr>
      </w:pPr>
      <w:r w:rsidRPr="00572AA3">
        <w:rPr>
          <w:rFonts w:cs="Calibri Light"/>
        </w:rPr>
        <w:t>W 2020 r</w:t>
      </w:r>
      <w:r w:rsidR="00B0168D">
        <w:rPr>
          <w:rFonts w:cs="Calibri Light"/>
        </w:rPr>
        <w:t>.</w:t>
      </w:r>
      <w:r w:rsidRPr="00572AA3">
        <w:rPr>
          <w:rFonts w:cs="Calibri Light"/>
        </w:rPr>
        <w:t xml:space="preserve"> W</w:t>
      </w:r>
      <w:r w:rsidR="00B0168D">
        <w:rPr>
          <w:rFonts w:cs="Calibri Light"/>
        </w:rPr>
        <w:t xml:space="preserve">ojewódzki </w:t>
      </w:r>
      <w:r w:rsidRPr="00572AA3">
        <w:rPr>
          <w:rFonts w:cs="Calibri Light"/>
        </w:rPr>
        <w:t>S</w:t>
      </w:r>
      <w:r w:rsidR="00B0168D">
        <w:rPr>
          <w:rFonts w:cs="Calibri Light"/>
        </w:rPr>
        <w:t xml:space="preserve">ąd </w:t>
      </w:r>
      <w:r w:rsidRPr="00572AA3">
        <w:rPr>
          <w:rFonts w:cs="Calibri Light"/>
        </w:rPr>
        <w:t>A</w:t>
      </w:r>
      <w:r w:rsidR="00B0168D">
        <w:rPr>
          <w:rFonts w:cs="Calibri Light"/>
        </w:rPr>
        <w:t>dministracyjny</w:t>
      </w:r>
      <w:r w:rsidRPr="00572AA3">
        <w:rPr>
          <w:rFonts w:cs="Calibri Light"/>
        </w:rPr>
        <w:t xml:space="preserve"> w Warszawie</w:t>
      </w:r>
      <w:r w:rsidR="00B0168D">
        <w:rPr>
          <w:rFonts w:cs="Calibri Light"/>
        </w:rPr>
        <w:t xml:space="preserve"> (WSA w Warszawie)</w:t>
      </w:r>
      <w:r w:rsidRPr="00572AA3">
        <w:rPr>
          <w:rFonts w:cs="Calibri Light"/>
        </w:rPr>
        <w:t xml:space="preserve"> rozpoznał merytorycznie 32 skargi na ww. decyzje i wydał wyroki je oddalające. Na powyższe rozstrzygnięcia złożono łącznie 11 skarg kasacyjnych. Z wiedzy posiadanej przez Fundusz w</w:t>
      </w:r>
      <w:r w:rsidR="00B0168D">
        <w:rPr>
          <w:rFonts w:cs="Calibri Light"/>
        </w:rPr>
        <w:t>ynika, że akta WSA przekazano z </w:t>
      </w:r>
      <w:r w:rsidRPr="00572AA3">
        <w:rPr>
          <w:rFonts w:cs="Calibri Light"/>
        </w:rPr>
        <w:t>końcem listopada 2021 r. do NSA, które zostały jednak w grudniu 2021 r. zwrócone do WSA celem usunięcia braków formalnych.</w:t>
      </w:r>
    </w:p>
    <w:p w:rsidR="007C0EB7" w:rsidRPr="00572AA3" w:rsidRDefault="007C0EB7" w:rsidP="00055306">
      <w:pPr>
        <w:spacing w:after="120"/>
        <w:rPr>
          <w:rFonts w:eastAsia="Times New Roman" w:cs="Calibri Light"/>
          <w:bCs/>
        </w:rPr>
      </w:pPr>
      <w:r w:rsidRPr="00572AA3">
        <w:rPr>
          <w:rFonts w:eastAsia="Times New Roman" w:cs="Calibri Light"/>
          <w:bCs/>
        </w:rPr>
        <w:t xml:space="preserve">Do dnia 31 marca 2022 r. </w:t>
      </w:r>
      <w:r w:rsidR="00B0168D">
        <w:rPr>
          <w:rFonts w:eastAsia="Times New Roman" w:cs="Calibri Light"/>
          <w:bCs/>
        </w:rPr>
        <w:t>WSA w Warszawie</w:t>
      </w:r>
      <w:r w:rsidRPr="00572AA3">
        <w:rPr>
          <w:rFonts w:eastAsia="Times New Roman" w:cs="Calibri Light"/>
          <w:bCs/>
        </w:rPr>
        <w:t xml:space="preserve"> poinformował Fundusz o wydaniu 199 postanowień (w tym odrzucających skargi m.in. z uwagi na wniesienie ich po terminie bądź też nieuzupełnienie braków formalnych, a także oddalających wnioski dowodowe), zaś w wyniku zażaleń złożonych na ww. rozstrzygnięcia WSA </w:t>
      </w:r>
      <w:r w:rsidR="00B0168D">
        <w:rPr>
          <w:rFonts w:eastAsia="Times New Roman" w:cs="Calibri Light"/>
          <w:bCs/>
        </w:rPr>
        <w:t xml:space="preserve">w Warszawie </w:t>
      </w:r>
      <w:r w:rsidRPr="00572AA3">
        <w:rPr>
          <w:rFonts w:eastAsia="Times New Roman" w:cs="Calibri Light"/>
          <w:bCs/>
        </w:rPr>
        <w:t xml:space="preserve">Naczelny Sąd Administracyjny </w:t>
      </w:r>
      <w:r w:rsidR="00B0168D">
        <w:rPr>
          <w:rFonts w:eastAsia="Times New Roman" w:cs="Calibri Light"/>
          <w:bCs/>
        </w:rPr>
        <w:t xml:space="preserve">(NSA) </w:t>
      </w:r>
      <w:r w:rsidRPr="00572AA3">
        <w:rPr>
          <w:rFonts w:eastAsia="Times New Roman" w:cs="Calibri Light"/>
          <w:bCs/>
        </w:rPr>
        <w:t>wydał 32 postanowienia.</w:t>
      </w:r>
    </w:p>
    <w:p w:rsidR="007C0EB7" w:rsidRPr="00572AA3" w:rsidRDefault="007C0EB7" w:rsidP="00055306">
      <w:pPr>
        <w:spacing w:after="120"/>
        <w:rPr>
          <w:rFonts w:cs="Calibri Light"/>
        </w:rPr>
      </w:pPr>
      <w:r w:rsidRPr="00572AA3">
        <w:rPr>
          <w:rFonts w:cs="Calibri Light"/>
        </w:rPr>
        <w:t>W okresie sprawozdawczym sądy administracyjne podjęły 6 rozstrzygnięć w ww. sprawie</w:t>
      </w:r>
      <w:r w:rsidR="00B0168D">
        <w:rPr>
          <w:rFonts w:cs="Calibri Light"/>
        </w:rPr>
        <w:t xml:space="preserve"> w </w:t>
      </w:r>
      <w:r w:rsidRPr="00572AA3">
        <w:rPr>
          <w:rFonts w:cs="Calibri Light"/>
        </w:rPr>
        <w:t>przedmiocie rozpoznania zażaleń na postanowienia o odrzuceniu skarg.</w:t>
      </w:r>
    </w:p>
    <w:p w:rsidR="007C0EB7" w:rsidRPr="00572AA3" w:rsidRDefault="007C0EB7" w:rsidP="00055306">
      <w:pPr>
        <w:spacing w:after="120"/>
        <w:rPr>
          <w:rFonts w:cs="Calibri Light"/>
        </w:rPr>
      </w:pPr>
      <w:r w:rsidRPr="00572AA3">
        <w:rPr>
          <w:rFonts w:cs="Calibri Light"/>
        </w:rPr>
        <w:t xml:space="preserve">27 września 2022 r. </w:t>
      </w:r>
      <w:r w:rsidR="00B0168D">
        <w:rPr>
          <w:rFonts w:cs="Calibri Light"/>
        </w:rPr>
        <w:t xml:space="preserve">NSA </w:t>
      </w:r>
      <w:r w:rsidRPr="00572AA3">
        <w:rPr>
          <w:rFonts w:cs="Calibri Light"/>
        </w:rPr>
        <w:t xml:space="preserve">rozpoznał skargę na wyrok </w:t>
      </w:r>
      <w:r w:rsidR="00B0168D">
        <w:rPr>
          <w:rFonts w:cs="Calibri Light"/>
        </w:rPr>
        <w:t>WSA</w:t>
      </w:r>
      <w:r w:rsidRPr="00572AA3">
        <w:rPr>
          <w:rFonts w:cs="Calibri Light"/>
        </w:rPr>
        <w:t xml:space="preserve"> </w:t>
      </w:r>
      <w:r w:rsidR="00B0168D">
        <w:rPr>
          <w:rFonts w:cs="Calibri Light"/>
        </w:rPr>
        <w:t xml:space="preserve">w Warszawie </w:t>
      </w:r>
      <w:r w:rsidRPr="00572AA3">
        <w:rPr>
          <w:rFonts w:cs="Calibri Light"/>
        </w:rPr>
        <w:t>oddalający skargi na decyzje Funduszu o wszczęciu przymusowej restrukturyzacji i uchylił zaskarżony wyrok w części dotyczącej skargi jednego skarżącego i w tej części skargę odrzucono, w pozostałym zakresie skargę kasacyjną oddalono.</w:t>
      </w:r>
    </w:p>
    <w:p w:rsidR="007C0EB7" w:rsidRPr="00B0168D" w:rsidRDefault="007C0EB7" w:rsidP="00B0168D">
      <w:pPr>
        <w:pStyle w:val="Akapitzlist"/>
        <w:spacing w:after="120"/>
        <w:ind w:left="284" w:firstLine="0"/>
        <w:rPr>
          <w:rFonts w:cs="Calibri Light"/>
          <w:i/>
          <w:u w:val="single"/>
        </w:rPr>
      </w:pPr>
      <w:r w:rsidRPr="00B0168D">
        <w:rPr>
          <w:rFonts w:cs="Calibri Light"/>
          <w:i/>
          <w:u w:val="single"/>
        </w:rPr>
        <w:t>Dotyczące decyzji administracyjnej Funduszu z dnia 30 grudnia 2020 r. w sprawie Idea Banku S.A.</w:t>
      </w:r>
    </w:p>
    <w:p w:rsidR="007C0EB7" w:rsidRPr="00572AA3" w:rsidRDefault="007C0EB7" w:rsidP="00055306">
      <w:pPr>
        <w:spacing w:after="120"/>
        <w:rPr>
          <w:rFonts w:cs="Calibri Light"/>
        </w:rPr>
      </w:pPr>
      <w:r w:rsidRPr="00572AA3">
        <w:rPr>
          <w:rFonts w:cs="Calibri Light"/>
        </w:rPr>
        <w:t xml:space="preserve">W związku z decyzją Funduszu z dnia 30 grudnia 2020 r. w sprawie wszczęcia przymusowej restrukturyzacji wobec Idea Banku S.A. (sygn. sprawy DPR.720.2.2019), umorzenia instrumentów kapitałowych Idea Banku S.A. (sygn. sprawy DPR.720.8.2019), zastosowania instrumentu przymusowej restrukturyzacji wobec Idea Banku S.A. (sygn. sprawy DPR.720.9.2019) oraz ustanowienia administratora Idea Banku S.A. (sygn. sprawy DPR.720.4.2019), do dnia 30 czerwca 2021 r. wpłynęło 291 skarg (w okresie sprawozdawczym nie wpłynęły skargi). </w:t>
      </w:r>
    </w:p>
    <w:p w:rsidR="007C0EB7" w:rsidRPr="00572AA3" w:rsidRDefault="007C0EB7" w:rsidP="00055306">
      <w:pPr>
        <w:spacing w:after="120"/>
        <w:rPr>
          <w:rFonts w:cs="Calibri Light"/>
        </w:rPr>
      </w:pPr>
      <w:r w:rsidRPr="00572AA3">
        <w:rPr>
          <w:rFonts w:cs="Calibri Light"/>
        </w:rPr>
        <w:t xml:space="preserve">Na wszystkie ww. skargi Fundusz, zgodnie z art. 15 zzi ust. 2 ustawy z dnia 2 marca 2020 r. o szczególnych rozwiązaniach związanych z zapobieganiem, przeciwdziałaniem i zwalczaniem COVID-19, innych chorób zakaźnych oraz wywołanych nimi sytuacji kryzysowych udzielił odpowiedzi do WSA </w:t>
      </w:r>
      <w:r w:rsidR="00C00BE2">
        <w:rPr>
          <w:rFonts w:cs="Calibri Light"/>
        </w:rPr>
        <w:t xml:space="preserve">w Warszawie </w:t>
      </w:r>
      <w:r w:rsidRPr="00572AA3">
        <w:rPr>
          <w:rFonts w:cs="Calibri Light"/>
        </w:rPr>
        <w:t>w terminie.</w:t>
      </w:r>
    </w:p>
    <w:p w:rsidR="007C0EB7" w:rsidRPr="00572AA3" w:rsidRDefault="007C0EB7" w:rsidP="00055306">
      <w:pPr>
        <w:spacing w:after="120"/>
        <w:rPr>
          <w:rFonts w:cs="Calibri Light"/>
        </w:rPr>
      </w:pPr>
      <w:r w:rsidRPr="00572AA3">
        <w:rPr>
          <w:rFonts w:cs="Calibri Light"/>
        </w:rPr>
        <w:t>Do dnia 31 grudnia 2021 r. WSA</w:t>
      </w:r>
      <w:r w:rsidR="00C00BE2">
        <w:rPr>
          <w:rFonts w:cs="Calibri Light"/>
        </w:rPr>
        <w:t xml:space="preserve"> w Warszawie</w:t>
      </w:r>
      <w:r w:rsidRPr="00572AA3">
        <w:rPr>
          <w:rFonts w:cs="Calibri Light"/>
        </w:rPr>
        <w:t xml:space="preserve"> odrzucił 30 skarg, w tym 26 skarg z uwagi na nieusunięcie braków formalnych; 3 skargi jako wniesione po ter</w:t>
      </w:r>
      <w:r w:rsidR="0097682C">
        <w:rPr>
          <w:rFonts w:cs="Calibri Light"/>
        </w:rPr>
        <w:t>minie (na jedno z postanowień o </w:t>
      </w:r>
      <w:r w:rsidRPr="00572AA3">
        <w:rPr>
          <w:rFonts w:cs="Calibri Light"/>
        </w:rPr>
        <w:t>odrzuceniu skargi wniesiono zażalenie do NSA, sąd II instancji w dniu 29 lip</w:t>
      </w:r>
      <w:r w:rsidR="00B0168D">
        <w:rPr>
          <w:rFonts w:cs="Calibri Light"/>
        </w:rPr>
        <w:t>ca 2021 r. uchylił orzeczenie o </w:t>
      </w:r>
      <w:r w:rsidRPr="00572AA3">
        <w:rPr>
          <w:rFonts w:cs="Calibri Light"/>
        </w:rPr>
        <w:t xml:space="preserve">odrzuceniu skargi). </w:t>
      </w:r>
    </w:p>
    <w:p w:rsidR="007C0EB7" w:rsidRPr="00572AA3" w:rsidRDefault="007C0EB7" w:rsidP="00D62B8C">
      <w:pPr>
        <w:spacing w:after="120"/>
        <w:rPr>
          <w:rFonts w:cs="Calibri Light"/>
        </w:rPr>
      </w:pPr>
      <w:r w:rsidRPr="00572AA3">
        <w:rPr>
          <w:rFonts w:cs="Calibri Light"/>
        </w:rPr>
        <w:t>Do dnia 31 grudnia 2021 r. 19 postanowień WSA w Warszawie o odrzuceniu skarg zyskało walor prawomocności.</w:t>
      </w:r>
    </w:p>
    <w:p w:rsidR="007C0EB7" w:rsidRPr="00572AA3" w:rsidRDefault="007C0EB7" w:rsidP="00055306">
      <w:pPr>
        <w:spacing w:after="120"/>
        <w:rPr>
          <w:rFonts w:cs="Calibri Light"/>
        </w:rPr>
      </w:pPr>
      <w:r w:rsidRPr="00572AA3">
        <w:rPr>
          <w:rFonts w:cs="Calibri Light"/>
        </w:rPr>
        <w:t>25 sierpnia 2021 r. WSA w Warszawie oddalił 258 skarg pochodzących od 606 podmiotów. Orzeczenie jest nieprawomocne. Z wiedzy posiadanej przez Fundusz do dnia sporządzenia sprawozdania złożono 48 skarg kasacyjnych, na które Fundusz udzielił odpowiedzi. Obecnie skargi kasacyjne oczekują na rozpatrzenie przez NSA.</w:t>
      </w:r>
    </w:p>
    <w:p w:rsidR="007C0EB7" w:rsidRPr="00572AA3" w:rsidRDefault="007C0EB7" w:rsidP="00055306">
      <w:pPr>
        <w:spacing w:after="120"/>
        <w:rPr>
          <w:rFonts w:cs="Calibri Light"/>
        </w:rPr>
      </w:pPr>
      <w:r w:rsidRPr="00572AA3">
        <w:rPr>
          <w:rFonts w:cs="Calibri Light"/>
        </w:rPr>
        <w:t>14 października 2021 r. Fundusz otrzymał odpis pisma procesowego, w którym pełnomocnik skarżącego podważył prawidłowość powołania s. WSA p. Joanny Wegner (przewodniczącej składu sędziowskiego w ww. sprawie jak i w sprawach ze skarg na decyzje w sprawie  wszczęcia przymusowej restrukturyzacji wobec PBS w Sanoku, BS w Przemkowie, zmiany warunków umowy pomiędzy Idea Bank S.A. a Idea Getin Leasing S.A.) z uwagi na potencjalne błędy przy jej powołaniu na stanowisko sędziego – z racji na powołanie jej na stanowisko sędziego przez Krajową Radę Sądownictwa ukształtowaną po 8 grudnia 2017 r. – co w konsekwencji skutkować miałoby nieważnością postępowania sądowego.</w:t>
      </w:r>
    </w:p>
    <w:p w:rsidR="007C0EB7" w:rsidRPr="00572AA3" w:rsidRDefault="007C0EB7" w:rsidP="00055306">
      <w:pPr>
        <w:tabs>
          <w:tab w:val="left" w:pos="1276"/>
          <w:tab w:val="left" w:pos="2694"/>
        </w:tabs>
        <w:spacing w:after="120"/>
        <w:rPr>
          <w:rFonts w:cs="Calibri Light"/>
        </w:rPr>
      </w:pPr>
      <w:r w:rsidRPr="00572AA3">
        <w:rPr>
          <w:rFonts w:cs="Calibri Light"/>
        </w:rPr>
        <w:t xml:space="preserve">22 sierpnia 2022 r. </w:t>
      </w:r>
      <w:r w:rsidR="00D62B8C">
        <w:rPr>
          <w:rFonts w:cs="Calibri Light"/>
        </w:rPr>
        <w:t>NSA</w:t>
      </w:r>
      <w:r w:rsidRPr="00572AA3">
        <w:rPr>
          <w:rFonts w:cs="Calibri Light"/>
        </w:rPr>
        <w:t xml:space="preserve">, z uwagi na braki formalne, postanowił o odrzuceniu wniosku pełnomocnika skarżącej Rady Nadzorczej Idea </w:t>
      </w:r>
      <w:r w:rsidRPr="00DE5097">
        <w:rPr>
          <w:rFonts w:cs="Calibri Light"/>
        </w:rPr>
        <w:t>Bank</w:t>
      </w:r>
      <w:r w:rsidR="00E8502C">
        <w:rPr>
          <w:rFonts w:cs="Calibri Light"/>
        </w:rPr>
        <w:t xml:space="preserve"> S.A.</w:t>
      </w:r>
      <w:r w:rsidR="00D62B8C" w:rsidRPr="00DE5097">
        <w:rPr>
          <w:rFonts w:cs="Calibri Light"/>
        </w:rPr>
        <w:t xml:space="preserve"> </w:t>
      </w:r>
      <w:r w:rsidRPr="00DE5097">
        <w:rPr>
          <w:rFonts w:cs="Calibri Light"/>
        </w:rPr>
        <w:t>i in.</w:t>
      </w:r>
      <w:r w:rsidRPr="00572AA3">
        <w:rPr>
          <w:rFonts w:cs="Calibri Light"/>
        </w:rPr>
        <w:t xml:space="preserve"> o zbadanie spełnienia wymogów niezawisłości i bezstronności przez Sędziego Wojewódzkiego Sądu Administra</w:t>
      </w:r>
      <w:r w:rsidR="00D62B8C">
        <w:rPr>
          <w:rFonts w:cs="Calibri Light"/>
        </w:rPr>
        <w:t>cyjnego w </w:t>
      </w:r>
      <w:r w:rsidRPr="00572AA3">
        <w:rPr>
          <w:rFonts w:cs="Calibri Light"/>
        </w:rPr>
        <w:t>Warszawie (obecnie Sędzia Naczelnego Sądu Administracyjnego) p. Joannę Wegner.</w:t>
      </w:r>
    </w:p>
    <w:p w:rsidR="007C0EB7" w:rsidRPr="00572AA3" w:rsidRDefault="007C0EB7" w:rsidP="00055306">
      <w:pPr>
        <w:tabs>
          <w:tab w:val="left" w:pos="1276"/>
          <w:tab w:val="left" w:pos="2694"/>
        </w:tabs>
        <w:spacing w:after="120"/>
        <w:rPr>
          <w:rFonts w:cs="Calibri Light"/>
        </w:rPr>
      </w:pPr>
      <w:r w:rsidRPr="00572AA3">
        <w:rPr>
          <w:rFonts w:cs="Calibri Light"/>
        </w:rPr>
        <w:t>20 września 2022 r. N</w:t>
      </w:r>
      <w:r w:rsidR="00DA24AC">
        <w:rPr>
          <w:rFonts w:cs="Calibri Light"/>
        </w:rPr>
        <w:t>SA</w:t>
      </w:r>
      <w:r w:rsidRPr="00572AA3">
        <w:rPr>
          <w:rFonts w:cs="Calibri Light"/>
        </w:rPr>
        <w:t xml:space="preserve"> odrzucił zażalenie na ww. postanowienie z uwagi na jego niedopuszczalność.</w:t>
      </w:r>
    </w:p>
    <w:p w:rsidR="007C0EB7" w:rsidRPr="00B0168D" w:rsidRDefault="007C0EB7" w:rsidP="00B0168D">
      <w:pPr>
        <w:pStyle w:val="Akapitzlist"/>
        <w:spacing w:after="120"/>
        <w:ind w:left="284" w:firstLine="0"/>
        <w:rPr>
          <w:rFonts w:cs="Calibri Light"/>
          <w:i/>
          <w:u w:val="single"/>
        </w:rPr>
      </w:pPr>
      <w:r w:rsidRPr="00B0168D">
        <w:rPr>
          <w:rFonts w:cs="Calibri Light"/>
          <w:i/>
          <w:u w:val="single"/>
        </w:rPr>
        <w:t>Dotyczące decyzji administracyjnej Funduszu z dnia 2 stycznia 2021 r. w sprawie zmiany warunków umowy pomiędzy Idea Bankiem S.A. a Idea Getin Leasing S.A.</w:t>
      </w:r>
    </w:p>
    <w:p w:rsidR="007C0EB7" w:rsidRPr="00572AA3" w:rsidRDefault="007C0EB7" w:rsidP="00055306">
      <w:pPr>
        <w:spacing w:after="120"/>
        <w:rPr>
          <w:rFonts w:cs="Calibri Light"/>
        </w:rPr>
      </w:pPr>
      <w:r w:rsidRPr="00572AA3">
        <w:rPr>
          <w:rFonts w:cs="Calibri Light"/>
        </w:rPr>
        <w:t xml:space="preserve">W związku z decyzją Funduszu z dnia 2 stycznia 2021 r. (sygn. sprawy DPR.720.2.2021) w sprawie zmiany warunków umowy pomiędzy Idea Bankiem S.A. a Idea Getin Leasing S.A. wpłynęła jedna skarga. </w:t>
      </w:r>
    </w:p>
    <w:p w:rsidR="007C0EB7" w:rsidRPr="00572AA3" w:rsidRDefault="007C0EB7" w:rsidP="00055306">
      <w:pPr>
        <w:spacing w:after="120"/>
        <w:rPr>
          <w:rFonts w:cs="Calibri Light"/>
        </w:rPr>
      </w:pPr>
      <w:r w:rsidRPr="00572AA3">
        <w:rPr>
          <w:rFonts w:cs="Calibri Light"/>
        </w:rPr>
        <w:t xml:space="preserve">Fundusz mając na uwadze z art. 15 zzi ust. </w:t>
      </w:r>
      <w:r w:rsidRPr="00DA24AC">
        <w:rPr>
          <w:rFonts w:cs="Calibri Light"/>
        </w:rPr>
        <w:t>2</w:t>
      </w:r>
      <w:r w:rsidRPr="00572AA3">
        <w:rPr>
          <w:rFonts w:cs="Calibri Light"/>
          <w:i/>
        </w:rPr>
        <w:t xml:space="preserve"> </w:t>
      </w:r>
      <w:r w:rsidRPr="00DA24AC">
        <w:rPr>
          <w:rFonts w:cs="Calibri Light"/>
          <w:i/>
        </w:rPr>
        <w:t xml:space="preserve">ustawy z dnia 2 marca 2020 r. o szczególnych rozwiązaniach związanych z zapobieganiem, przeciwdziałaniem i zwalczaniem COVID-19, innych chorób zakaźnych oraz wywołanych nimi sytuacji kryzysowych </w:t>
      </w:r>
      <w:r w:rsidRPr="00572AA3">
        <w:rPr>
          <w:rFonts w:cs="Calibri Light"/>
        </w:rPr>
        <w:t>udzielił odpowiedzi do WSA w Warszawie w terminie.</w:t>
      </w:r>
    </w:p>
    <w:p w:rsidR="007C0EB7" w:rsidRPr="00572AA3" w:rsidRDefault="007C0EB7" w:rsidP="00055306">
      <w:pPr>
        <w:spacing w:after="120"/>
        <w:rPr>
          <w:rFonts w:cs="Calibri Light"/>
        </w:rPr>
      </w:pPr>
      <w:r w:rsidRPr="00572AA3">
        <w:rPr>
          <w:rFonts w:cs="Calibri Light"/>
        </w:rPr>
        <w:t>28 kwietnia 2021 r. Fundusz otrzymał postanowienie WSA w Warszawie z dnia 21 kwietnia 2021 r. w przedmiocie zawieszenia postępowania sądowego z uwagi na prejudycjalny charakter postępowania sądowego wszczętego skargami na decyzję administracyjną Funduszu z dnia 30 grudnia 2020 r. w sprawie wszczęcia przymusowej restrukturyzacji Idea Banku S.A., umorzenia instrumentów kapitałowych Idea Banku S.A., zastosowania instrumentu przymusowej restrukturyzacji wobec Idea Banku S.A. oraz ustanowienia administratora Idea Banku S.A. Na powyższe rozstrzygnięcie Skarżący złożył zażalenie do NSA, zaś Fundusz udzielił odpowiedzi.</w:t>
      </w:r>
    </w:p>
    <w:p w:rsidR="007C0EB7" w:rsidRPr="00B0168D" w:rsidRDefault="007C0EB7" w:rsidP="00B0168D">
      <w:pPr>
        <w:pStyle w:val="Akapitzlist"/>
        <w:spacing w:after="120"/>
        <w:ind w:left="284" w:firstLine="0"/>
        <w:rPr>
          <w:rFonts w:cs="Calibri Light"/>
          <w:i/>
          <w:u w:val="single"/>
        </w:rPr>
      </w:pPr>
      <w:r w:rsidRPr="00B0168D">
        <w:rPr>
          <w:rFonts w:cs="Calibri Light"/>
          <w:i/>
          <w:u w:val="single"/>
        </w:rPr>
        <w:t>Dotyczące decyzji administracyjnej Funduszu z dnia 2 stycznia 2021 r. sprawie zmiany warunków umowy podnajmu z dnia 16 marca 2020 r. zawartej pomiędzy Idea Bankiem S.A. a Getin Noble Bank S.A. dotyczącej pomieszczeń w budynku pod adresem Rondo Daszyńskiego 2c</w:t>
      </w:r>
    </w:p>
    <w:p w:rsidR="007C0EB7" w:rsidRPr="00572AA3" w:rsidRDefault="007C0EB7" w:rsidP="00055306">
      <w:pPr>
        <w:spacing w:after="120"/>
        <w:rPr>
          <w:rFonts w:cs="Calibri Light"/>
        </w:rPr>
      </w:pPr>
      <w:r w:rsidRPr="00572AA3">
        <w:rPr>
          <w:rFonts w:cs="Calibri Light"/>
        </w:rPr>
        <w:t>W związku z decyzją Funduszu z dnia 2 stycznia 2021 r. (sygn. DPR.720.1.2021) w sprawie zmiany warunków umowy podnajmu z dnia 16 marca 2020 r. zawartej pomiędzy Idea Bankiem S.A. a Getin Noble Bank S.A. dotyczącej pomieszczeń w budynku pod adresem Rondo Daszyńskiego 2c wpłynęła jedna skarga. Fundusz udzielił odpowiedzi do WSA w Warszawie w terminie.</w:t>
      </w:r>
    </w:p>
    <w:p w:rsidR="007C0EB7" w:rsidRPr="00572AA3" w:rsidRDefault="007C0EB7" w:rsidP="00055306">
      <w:pPr>
        <w:spacing w:after="120"/>
        <w:rPr>
          <w:rFonts w:cs="Calibri Light"/>
        </w:rPr>
      </w:pPr>
      <w:r w:rsidRPr="00572AA3">
        <w:rPr>
          <w:rFonts w:cs="Calibri Light"/>
        </w:rPr>
        <w:t>28 kwietnia 2021 r. Fundusz otrzymał postanowienie WSA w Warszawie z dnia 21 kwietnia 2021 r. w przedmiocie zawieszenia postępowania sądowego z uwagi na prejudycjalny charakter postępowania sądowego wszczętego skargami na decyzję administracyjną Funduszu z dnia 30 grudnia 2020 r. w sprawie wszczęcia przymusowej restrukturyzacji Idea Banku S.A., umorzenia instrumentów kapitałowych Idea Banku S.A., zastosowania instrumentu przymusowej restrukturyzacji wobec Idea Banku S.A. oraz ustanowienia administratora Idea Banku S.A. Na powyższe rozstrzygnięcie Skarżący złożył zażalenie do NSA. W wyniku zajęcia przez Fundusz stanowiska w odpowiedzi na zażalenie do dnia 30 września 202</w:t>
      </w:r>
      <w:r w:rsidR="00A46BC6">
        <w:rPr>
          <w:rFonts w:cs="Calibri Light"/>
        </w:rPr>
        <w:t>1 r. została złożona replika. W </w:t>
      </w:r>
      <w:r w:rsidRPr="00572AA3">
        <w:rPr>
          <w:rFonts w:cs="Calibri Light"/>
        </w:rPr>
        <w:t>odpowiedzi na replikę Fundusz sporządził i przekazał do NSA duplikę.</w:t>
      </w:r>
    </w:p>
    <w:p w:rsidR="007C0EB7" w:rsidRPr="00572AA3" w:rsidRDefault="007C0EB7" w:rsidP="00055306">
      <w:pPr>
        <w:pStyle w:val="Akapitzlist"/>
        <w:spacing w:after="120"/>
        <w:ind w:left="284" w:firstLine="0"/>
        <w:rPr>
          <w:rFonts w:cs="Calibri Light"/>
          <w:i/>
          <w:u w:val="single"/>
        </w:rPr>
      </w:pPr>
      <w:r w:rsidRPr="00572AA3">
        <w:rPr>
          <w:rFonts w:cs="Calibri Light"/>
          <w:i/>
          <w:u w:val="single"/>
        </w:rPr>
        <w:t>Dotyczące dostępu do informacji publicznej</w:t>
      </w:r>
    </w:p>
    <w:p w:rsidR="007C0EB7" w:rsidRPr="007C0EB7" w:rsidRDefault="007C0EB7" w:rsidP="007C0EB7">
      <w:pPr>
        <w:spacing w:after="120"/>
        <w:rPr>
          <w:rFonts w:cs="Calibri Light"/>
          <w:bCs/>
          <w:color w:val="000000"/>
          <w:lang w:eastAsia="en-US"/>
        </w:rPr>
      </w:pPr>
      <w:r w:rsidRPr="007C0EB7">
        <w:rPr>
          <w:rFonts w:cs="Calibri Light"/>
          <w:bCs/>
          <w:color w:val="000000"/>
          <w:lang w:eastAsia="en-US"/>
        </w:rPr>
        <w:t xml:space="preserve">3 sierpnia 2022 r. wpłynęła skarga na decyzję Funduszu z dnia 28 czerwca 2022 r., podjętą uchwałą Zarządu, w sprawie odmowy udostępnienia informacji publicznej dotyczącej występowania przesłanek zagrożenia upadłością Getin Noble Banku S.A. oraz podejmowanych przez Fundusz działań wobec ww. banku. </w:t>
      </w:r>
    </w:p>
    <w:p w:rsidR="007C0EB7" w:rsidRPr="007C0EB7" w:rsidRDefault="007C0EB7" w:rsidP="007C0EB7">
      <w:pPr>
        <w:spacing w:after="0"/>
        <w:rPr>
          <w:rFonts w:cs="Calibri Light"/>
          <w:bCs/>
          <w:color w:val="000000"/>
          <w:lang w:eastAsia="en-US"/>
        </w:rPr>
      </w:pPr>
      <w:r w:rsidRPr="007C0EB7">
        <w:rPr>
          <w:rFonts w:cs="Calibri Light"/>
          <w:bCs/>
          <w:color w:val="000000"/>
          <w:lang w:eastAsia="en-US"/>
        </w:rPr>
        <w:t xml:space="preserve">Skarga wraz z odpowiedzią Funduszu na skargę oraz kompletnymi i uporządkowanymi aktami sprawy została w dniu 12 sierpnia 2022 r. przekazana do </w:t>
      </w:r>
      <w:r w:rsidR="00C242CB">
        <w:rPr>
          <w:rFonts w:cs="Calibri Light"/>
          <w:bCs/>
          <w:color w:val="000000"/>
          <w:lang w:eastAsia="en-US"/>
        </w:rPr>
        <w:t>WSA</w:t>
      </w:r>
      <w:r w:rsidRPr="007C0EB7">
        <w:rPr>
          <w:rFonts w:cs="Calibri Light"/>
          <w:bCs/>
          <w:color w:val="000000"/>
          <w:lang w:eastAsia="en-US"/>
        </w:rPr>
        <w:t xml:space="preserve"> w Warszawie.</w:t>
      </w:r>
    </w:p>
    <w:p w:rsidR="0076523D" w:rsidRDefault="0076523D" w:rsidP="00492FE4">
      <w:pPr>
        <w:pStyle w:val="Nagwek2"/>
        <w:numPr>
          <w:ilvl w:val="0"/>
          <w:numId w:val="5"/>
        </w:numPr>
        <w:spacing w:before="240"/>
        <w:ind w:left="714" w:hanging="357"/>
        <w:rPr>
          <w:rFonts w:cs="Calibri Light"/>
        </w:rPr>
      </w:pPr>
      <w:bookmarkStart w:id="117" w:name="_Toc32571622"/>
      <w:bookmarkStart w:id="118" w:name="_Toc34836195"/>
      <w:r w:rsidRPr="00DF679D">
        <w:rPr>
          <w:rFonts w:cs="Calibri Light"/>
        </w:rPr>
        <w:t xml:space="preserve"> </w:t>
      </w:r>
      <w:bookmarkStart w:id="119" w:name="_Toc116304545"/>
      <w:r w:rsidRPr="00DF679D">
        <w:rPr>
          <w:rFonts w:cs="Calibri Light"/>
        </w:rPr>
        <w:t>Sporne postępowania sądowe</w:t>
      </w:r>
      <w:bookmarkEnd w:id="117"/>
      <w:bookmarkEnd w:id="118"/>
      <w:bookmarkEnd w:id="119"/>
    </w:p>
    <w:p w:rsidR="00492FE4" w:rsidRDefault="00492FE4" w:rsidP="00492FE4">
      <w:pPr>
        <w:rPr>
          <w:rFonts w:cs="Calibri Light"/>
        </w:rPr>
      </w:pPr>
      <w:r w:rsidRPr="00092A7C">
        <w:rPr>
          <w:rFonts w:cs="Calibri Light"/>
        </w:rPr>
        <w:t xml:space="preserve">Według stanu na dzień </w:t>
      </w:r>
      <w:r>
        <w:rPr>
          <w:rFonts w:cs="Calibri Light"/>
        </w:rPr>
        <w:t xml:space="preserve">30 września 2022 </w:t>
      </w:r>
      <w:r w:rsidRPr="00092A7C">
        <w:rPr>
          <w:rFonts w:cs="Calibri Light"/>
        </w:rPr>
        <w:t>r. Bankowy Fundusz Gwarancyjny był stroną w następujących spornych postępowaniach sądowych:</w:t>
      </w:r>
    </w:p>
    <w:p w:rsidR="00492FE4" w:rsidRPr="00492FE4" w:rsidRDefault="00492FE4" w:rsidP="00492FE4">
      <w:pPr>
        <w:spacing w:after="60"/>
        <w:ind w:firstLine="0"/>
        <w:rPr>
          <w:rFonts w:cs="Calibri Light"/>
          <w:b/>
          <w:sz w:val="22"/>
          <w:szCs w:val="22"/>
        </w:rPr>
      </w:pPr>
      <w:r w:rsidRPr="00492FE4">
        <w:rPr>
          <w:rFonts w:cs="Calibri Light"/>
          <w:b/>
          <w:sz w:val="22"/>
          <w:szCs w:val="22"/>
        </w:rPr>
        <w:t>Tabela 1</w:t>
      </w:r>
      <w:r w:rsidR="000B083B">
        <w:rPr>
          <w:rFonts w:cs="Calibri Light"/>
          <w:b/>
          <w:sz w:val="22"/>
          <w:szCs w:val="22"/>
        </w:rPr>
        <w:t>7</w:t>
      </w:r>
      <w:r w:rsidRPr="00492FE4">
        <w:rPr>
          <w:rFonts w:cs="Calibri Light"/>
          <w:b/>
          <w:sz w:val="22"/>
          <w:szCs w:val="22"/>
        </w:rPr>
        <w:t>. Sporne postępowania sądowe</w:t>
      </w:r>
    </w:p>
    <w:tbl>
      <w:tblPr>
        <w:tblStyle w:val="Tabela-Siatka"/>
        <w:tblW w:w="9356" w:type="dxa"/>
        <w:tblInd w:w="-5" w:type="dxa"/>
        <w:tblLayout w:type="fixed"/>
        <w:tblLook w:val="04A0" w:firstRow="1" w:lastRow="0" w:firstColumn="1" w:lastColumn="0" w:noHBand="0" w:noVBand="1"/>
      </w:tblPr>
      <w:tblGrid>
        <w:gridCol w:w="426"/>
        <w:gridCol w:w="1417"/>
        <w:gridCol w:w="1276"/>
        <w:gridCol w:w="1418"/>
        <w:gridCol w:w="3118"/>
        <w:gridCol w:w="1701"/>
      </w:tblGrid>
      <w:tr w:rsidR="00492FE4" w:rsidRPr="00092A7C" w:rsidTr="009B6C52">
        <w:trPr>
          <w:trHeight w:val="604"/>
        </w:trPr>
        <w:tc>
          <w:tcPr>
            <w:tcW w:w="426" w:type="dxa"/>
            <w:shd w:val="clear" w:color="auto" w:fill="2A5384"/>
          </w:tcPr>
          <w:p w:rsidR="00492FE4" w:rsidRPr="00C41AB2" w:rsidRDefault="00492FE4" w:rsidP="00492FE4">
            <w:pPr>
              <w:spacing w:after="0"/>
              <w:ind w:right="-106" w:firstLine="0"/>
              <w:rPr>
                <w:rFonts w:cs="Calibri Light"/>
                <w:b/>
                <w:color w:val="FFFFFF" w:themeColor="background1"/>
                <w:sz w:val="19"/>
                <w:szCs w:val="19"/>
              </w:rPr>
            </w:pPr>
            <w:r w:rsidRPr="00C41AB2">
              <w:rPr>
                <w:rFonts w:cs="Calibri Light"/>
                <w:b/>
                <w:color w:val="FFFFFF" w:themeColor="background1"/>
                <w:sz w:val="19"/>
                <w:szCs w:val="19"/>
              </w:rPr>
              <w:t>Lp.</w:t>
            </w:r>
          </w:p>
        </w:tc>
        <w:tc>
          <w:tcPr>
            <w:tcW w:w="1417" w:type="dxa"/>
            <w:shd w:val="clear" w:color="auto" w:fill="2A5384"/>
          </w:tcPr>
          <w:p w:rsidR="00492FE4" w:rsidRPr="00C41AB2" w:rsidRDefault="00492FE4" w:rsidP="00492FE4">
            <w:pPr>
              <w:spacing w:after="0"/>
              <w:ind w:firstLine="0"/>
              <w:jc w:val="center"/>
              <w:rPr>
                <w:rFonts w:cs="Calibri Light"/>
                <w:b/>
                <w:color w:val="FFFFFF" w:themeColor="background1"/>
                <w:sz w:val="19"/>
                <w:szCs w:val="19"/>
              </w:rPr>
            </w:pPr>
            <w:r w:rsidRPr="00C41AB2">
              <w:rPr>
                <w:rFonts w:cs="Calibri Light"/>
                <w:b/>
                <w:color w:val="FFFFFF" w:themeColor="background1"/>
                <w:sz w:val="19"/>
                <w:szCs w:val="19"/>
              </w:rPr>
              <w:t>Strona powodowa</w:t>
            </w:r>
          </w:p>
          <w:p w:rsidR="00492FE4" w:rsidRPr="00C41AB2" w:rsidRDefault="00492FE4" w:rsidP="00492FE4">
            <w:pPr>
              <w:spacing w:after="0"/>
              <w:ind w:firstLine="0"/>
              <w:jc w:val="center"/>
              <w:rPr>
                <w:rFonts w:cs="Calibri Light"/>
                <w:b/>
                <w:color w:val="FFFFFF" w:themeColor="background1"/>
                <w:sz w:val="19"/>
                <w:szCs w:val="19"/>
              </w:rPr>
            </w:pPr>
          </w:p>
        </w:tc>
        <w:tc>
          <w:tcPr>
            <w:tcW w:w="1276" w:type="dxa"/>
            <w:shd w:val="clear" w:color="auto" w:fill="2A5384"/>
          </w:tcPr>
          <w:p w:rsidR="00492FE4" w:rsidRPr="00C41AB2" w:rsidRDefault="00492FE4" w:rsidP="00492FE4">
            <w:pPr>
              <w:spacing w:after="0"/>
              <w:ind w:firstLine="0"/>
              <w:jc w:val="center"/>
              <w:rPr>
                <w:rFonts w:cs="Calibri Light"/>
                <w:b/>
                <w:color w:val="FFFFFF" w:themeColor="background1"/>
                <w:sz w:val="19"/>
                <w:szCs w:val="19"/>
              </w:rPr>
            </w:pPr>
            <w:r w:rsidRPr="00C41AB2">
              <w:rPr>
                <w:rFonts w:cs="Calibri Light"/>
                <w:b/>
                <w:color w:val="FFFFFF" w:themeColor="background1"/>
                <w:sz w:val="19"/>
                <w:szCs w:val="19"/>
              </w:rPr>
              <w:t xml:space="preserve">Strona </w:t>
            </w:r>
          </w:p>
          <w:p w:rsidR="00492FE4" w:rsidRPr="00C41AB2" w:rsidRDefault="00492FE4" w:rsidP="00492FE4">
            <w:pPr>
              <w:spacing w:after="0"/>
              <w:ind w:firstLine="0"/>
              <w:jc w:val="center"/>
              <w:rPr>
                <w:rFonts w:cs="Calibri Light"/>
                <w:b/>
                <w:color w:val="FFFFFF" w:themeColor="background1"/>
                <w:sz w:val="19"/>
                <w:szCs w:val="19"/>
              </w:rPr>
            </w:pPr>
            <w:r w:rsidRPr="00C41AB2">
              <w:rPr>
                <w:rFonts w:cs="Calibri Light"/>
                <w:b/>
                <w:color w:val="FFFFFF" w:themeColor="background1"/>
                <w:sz w:val="19"/>
                <w:szCs w:val="19"/>
              </w:rPr>
              <w:t>pozwana</w:t>
            </w:r>
          </w:p>
        </w:tc>
        <w:tc>
          <w:tcPr>
            <w:tcW w:w="1418" w:type="dxa"/>
            <w:shd w:val="clear" w:color="auto" w:fill="2A5384"/>
          </w:tcPr>
          <w:p w:rsidR="00492FE4" w:rsidRPr="00C41AB2" w:rsidRDefault="00492FE4" w:rsidP="00492FE4">
            <w:pPr>
              <w:spacing w:after="0"/>
              <w:ind w:firstLine="0"/>
              <w:jc w:val="center"/>
              <w:rPr>
                <w:rFonts w:cs="Calibri Light"/>
                <w:b/>
                <w:color w:val="FFFFFF" w:themeColor="background1"/>
                <w:sz w:val="19"/>
                <w:szCs w:val="19"/>
              </w:rPr>
            </w:pPr>
            <w:r w:rsidRPr="00C41AB2">
              <w:rPr>
                <w:rFonts w:cs="Calibri Light"/>
                <w:b/>
                <w:color w:val="FFFFFF" w:themeColor="background1"/>
                <w:sz w:val="19"/>
                <w:szCs w:val="19"/>
              </w:rPr>
              <w:t>data złożenia/</w:t>
            </w:r>
          </w:p>
          <w:p w:rsidR="00492FE4" w:rsidRPr="00C41AB2" w:rsidRDefault="00492FE4" w:rsidP="00492FE4">
            <w:pPr>
              <w:spacing w:after="0"/>
              <w:ind w:firstLine="0"/>
              <w:jc w:val="center"/>
              <w:rPr>
                <w:rFonts w:cs="Calibri Light"/>
                <w:b/>
                <w:color w:val="FFFFFF" w:themeColor="background1"/>
                <w:sz w:val="19"/>
                <w:szCs w:val="19"/>
              </w:rPr>
            </w:pPr>
            <w:r w:rsidRPr="00C41AB2">
              <w:rPr>
                <w:rFonts w:cs="Calibri Light"/>
                <w:b/>
                <w:color w:val="FFFFFF" w:themeColor="background1"/>
                <w:sz w:val="19"/>
                <w:szCs w:val="19"/>
              </w:rPr>
              <w:t>otrzymania pozwu</w:t>
            </w:r>
          </w:p>
        </w:tc>
        <w:tc>
          <w:tcPr>
            <w:tcW w:w="3118" w:type="dxa"/>
            <w:shd w:val="clear" w:color="auto" w:fill="2A5384"/>
          </w:tcPr>
          <w:p w:rsidR="00492FE4" w:rsidRPr="00C41AB2" w:rsidRDefault="00492FE4" w:rsidP="00492FE4">
            <w:pPr>
              <w:spacing w:after="0"/>
              <w:ind w:firstLine="0"/>
              <w:jc w:val="center"/>
              <w:rPr>
                <w:rFonts w:cs="Calibri Light"/>
                <w:b/>
                <w:color w:val="FFFFFF" w:themeColor="background1"/>
                <w:sz w:val="19"/>
                <w:szCs w:val="19"/>
              </w:rPr>
            </w:pPr>
            <w:r w:rsidRPr="00C41AB2">
              <w:rPr>
                <w:rFonts w:cs="Calibri Light"/>
                <w:b/>
                <w:color w:val="FFFFFF" w:themeColor="background1"/>
                <w:sz w:val="19"/>
                <w:szCs w:val="19"/>
              </w:rPr>
              <w:t>Wartość i przedmiot pozwu</w:t>
            </w:r>
          </w:p>
        </w:tc>
        <w:tc>
          <w:tcPr>
            <w:tcW w:w="1701" w:type="dxa"/>
            <w:shd w:val="clear" w:color="auto" w:fill="2A5384"/>
          </w:tcPr>
          <w:p w:rsidR="00492FE4" w:rsidRPr="00C41AB2" w:rsidRDefault="00492FE4" w:rsidP="00492FE4">
            <w:pPr>
              <w:spacing w:after="0"/>
              <w:ind w:firstLine="0"/>
              <w:jc w:val="center"/>
              <w:rPr>
                <w:rFonts w:cs="Calibri Light"/>
                <w:b/>
                <w:color w:val="FFFFFF" w:themeColor="background1"/>
                <w:sz w:val="19"/>
                <w:szCs w:val="19"/>
              </w:rPr>
            </w:pPr>
            <w:r w:rsidRPr="00C41AB2">
              <w:rPr>
                <w:rFonts w:cs="Calibri Light"/>
                <w:b/>
                <w:color w:val="FFFFFF" w:themeColor="background1"/>
                <w:sz w:val="19"/>
                <w:szCs w:val="19"/>
              </w:rPr>
              <w:t>Zdarzenia w okresie sprawozdawczym</w:t>
            </w:r>
          </w:p>
        </w:tc>
      </w:tr>
      <w:tr w:rsidR="00492FE4" w:rsidRPr="00092A7C" w:rsidTr="009B6C52">
        <w:tc>
          <w:tcPr>
            <w:tcW w:w="426" w:type="dxa"/>
          </w:tcPr>
          <w:p w:rsidR="00492FE4" w:rsidRPr="00C41AB2" w:rsidRDefault="00492FE4" w:rsidP="00492FE4">
            <w:pPr>
              <w:spacing w:after="0"/>
              <w:ind w:firstLine="0"/>
              <w:rPr>
                <w:rFonts w:cs="Calibri Light"/>
                <w:sz w:val="19"/>
                <w:szCs w:val="19"/>
              </w:rPr>
            </w:pPr>
            <w:r w:rsidRPr="00C41AB2">
              <w:rPr>
                <w:rFonts w:cs="Calibri Light"/>
                <w:sz w:val="19"/>
                <w:szCs w:val="19"/>
              </w:rPr>
              <w:t>1.</w:t>
            </w:r>
          </w:p>
        </w:tc>
        <w:tc>
          <w:tcPr>
            <w:tcW w:w="1417" w:type="dxa"/>
          </w:tcPr>
          <w:p w:rsidR="00492FE4" w:rsidRPr="00C41AB2" w:rsidRDefault="00492FE4" w:rsidP="00492FE4">
            <w:pPr>
              <w:spacing w:after="0"/>
              <w:ind w:firstLine="0"/>
              <w:rPr>
                <w:rFonts w:cs="Calibri Light"/>
                <w:sz w:val="19"/>
                <w:szCs w:val="19"/>
              </w:rPr>
            </w:pPr>
            <w:r w:rsidRPr="00C41AB2">
              <w:rPr>
                <w:rFonts w:cs="Calibri Light"/>
                <w:sz w:val="19"/>
                <w:szCs w:val="19"/>
              </w:rPr>
              <w:t>Bankowy Fundusz Gwarancyjny</w:t>
            </w:r>
          </w:p>
        </w:tc>
        <w:tc>
          <w:tcPr>
            <w:tcW w:w="1276" w:type="dxa"/>
          </w:tcPr>
          <w:p w:rsidR="00492FE4" w:rsidRPr="00C41AB2" w:rsidRDefault="00492FE4" w:rsidP="00492FE4">
            <w:pPr>
              <w:spacing w:after="0"/>
              <w:ind w:firstLine="0"/>
              <w:jc w:val="left"/>
              <w:rPr>
                <w:rFonts w:cs="Calibri Light"/>
                <w:sz w:val="19"/>
                <w:szCs w:val="19"/>
              </w:rPr>
            </w:pPr>
            <w:r w:rsidRPr="00C41AB2">
              <w:rPr>
                <w:rFonts w:cs="Calibri Light"/>
                <w:sz w:val="19"/>
                <w:szCs w:val="19"/>
              </w:rPr>
              <w:t>Krajowa SKOK</w:t>
            </w:r>
          </w:p>
        </w:tc>
        <w:tc>
          <w:tcPr>
            <w:tcW w:w="1418" w:type="dxa"/>
          </w:tcPr>
          <w:p w:rsidR="00492FE4" w:rsidRPr="00C41AB2" w:rsidRDefault="00492FE4" w:rsidP="00492FE4">
            <w:pPr>
              <w:spacing w:after="0"/>
              <w:ind w:firstLine="0"/>
              <w:jc w:val="center"/>
              <w:rPr>
                <w:rFonts w:cs="Calibri Light"/>
                <w:sz w:val="19"/>
                <w:szCs w:val="19"/>
              </w:rPr>
            </w:pPr>
            <w:r w:rsidRPr="00C41AB2">
              <w:rPr>
                <w:rFonts w:cs="Calibri Light"/>
                <w:sz w:val="19"/>
                <w:szCs w:val="19"/>
              </w:rPr>
              <w:t>12.03.2015 r.</w:t>
            </w:r>
          </w:p>
        </w:tc>
        <w:tc>
          <w:tcPr>
            <w:tcW w:w="3118" w:type="dxa"/>
          </w:tcPr>
          <w:p w:rsidR="00492FE4" w:rsidRPr="00C41AB2" w:rsidRDefault="00492FE4" w:rsidP="00492FE4">
            <w:pPr>
              <w:pStyle w:val="Normal1"/>
              <w:spacing w:before="0" w:after="0" w:line="240" w:lineRule="auto"/>
              <w:jc w:val="left"/>
              <w:rPr>
                <w:rFonts w:ascii="Calibri Light" w:hAnsi="Calibri Light" w:cs="Calibri Light"/>
                <w:sz w:val="19"/>
                <w:szCs w:val="19"/>
              </w:rPr>
            </w:pPr>
            <w:r w:rsidRPr="00C41AB2">
              <w:rPr>
                <w:rFonts w:ascii="Calibri Light" w:hAnsi="Calibri Light" w:cs="Calibri Light"/>
                <w:sz w:val="19"/>
                <w:szCs w:val="19"/>
              </w:rPr>
              <w:t>Pozew o zapłatę kwoty 269 844 877,74 zł wraz z odsetkami ustawowymi tytułem nieprzekazanej Funduszowi kwoty wolnych środków funduszu stabilizacyjnego na wypłaty środków gwarantowanych deponentom SKOK Wspólnota.</w:t>
            </w:r>
          </w:p>
          <w:p w:rsidR="00492FE4" w:rsidRPr="00C41AB2" w:rsidRDefault="00492FE4" w:rsidP="00492FE4">
            <w:pPr>
              <w:spacing w:after="0"/>
              <w:ind w:firstLine="0"/>
              <w:jc w:val="left"/>
              <w:rPr>
                <w:rFonts w:cs="Calibri Light"/>
                <w:sz w:val="19"/>
                <w:szCs w:val="19"/>
              </w:rPr>
            </w:pPr>
            <w:r w:rsidRPr="00C41AB2">
              <w:rPr>
                <w:rFonts w:cs="Calibri Light"/>
                <w:sz w:val="19"/>
                <w:szCs w:val="19"/>
              </w:rPr>
              <w:t xml:space="preserve">W 2015 r. odbyła się wymiana pism procesowych dotyczących pozwu oraz wniosku strony pozwanej o odrzucenie pozwu z uwagi na niedopuszczalność drogi sądowej. </w:t>
            </w:r>
          </w:p>
          <w:p w:rsidR="00492FE4" w:rsidRPr="00C41AB2" w:rsidRDefault="00C242CB" w:rsidP="00492FE4">
            <w:pPr>
              <w:spacing w:after="0"/>
              <w:ind w:firstLine="0"/>
              <w:jc w:val="left"/>
              <w:rPr>
                <w:rFonts w:cs="Calibri Light"/>
                <w:sz w:val="19"/>
                <w:szCs w:val="19"/>
              </w:rPr>
            </w:pPr>
            <w:r>
              <w:rPr>
                <w:rFonts w:cs="Calibri Light"/>
                <w:sz w:val="19"/>
                <w:szCs w:val="19"/>
              </w:rPr>
              <w:t>17.03.2016 r. Sąd Okręgowy w </w:t>
            </w:r>
            <w:r w:rsidR="00492FE4" w:rsidRPr="00C41AB2">
              <w:rPr>
                <w:rFonts w:cs="Calibri Light"/>
                <w:sz w:val="19"/>
                <w:szCs w:val="19"/>
              </w:rPr>
              <w:t xml:space="preserve">Gdańsku wydał postanowienie o odmowie odrzucenia pozwu. Postanowienie to zostało zaskarżone przez stronę pozwaną. 28.12.2016 r. Sąd Apelacyjny w Gdańsku na posiedzeniu niejawnym wydał postanowienie o oddaleniu zażalenia strony pozwanej. </w:t>
            </w:r>
          </w:p>
          <w:p w:rsidR="00492FE4" w:rsidRPr="00C41AB2" w:rsidRDefault="00492FE4" w:rsidP="00492FE4">
            <w:pPr>
              <w:spacing w:after="0"/>
              <w:ind w:firstLine="0"/>
              <w:jc w:val="left"/>
              <w:rPr>
                <w:rFonts w:cs="Calibri Light"/>
                <w:sz w:val="19"/>
                <w:szCs w:val="19"/>
              </w:rPr>
            </w:pPr>
            <w:r w:rsidRPr="00C41AB2">
              <w:rPr>
                <w:rFonts w:cs="Calibri Light"/>
                <w:sz w:val="19"/>
                <w:szCs w:val="19"/>
              </w:rPr>
              <w:t>W 20</w:t>
            </w:r>
            <w:r>
              <w:rPr>
                <w:rFonts w:cs="Calibri Light"/>
                <w:sz w:val="19"/>
                <w:szCs w:val="19"/>
              </w:rPr>
              <w:t>18 r. oraz 2019 r. odbyło się 9 </w:t>
            </w:r>
            <w:r w:rsidRPr="00C41AB2">
              <w:rPr>
                <w:rFonts w:cs="Calibri Light"/>
                <w:sz w:val="19"/>
                <w:szCs w:val="19"/>
              </w:rPr>
              <w:t>rozpraw w przedmiotowej sprawie, podczas których prowadzone było po</w:t>
            </w:r>
            <w:r>
              <w:rPr>
                <w:rFonts w:cs="Calibri Light"/>
                <w:sz w:val="19"/>
                <w:szCs w:val="19"/>
              </w:rPr>
              <w:t>stępowanie dowodowe. 18.11.2019 </w:t>
            </w:r>
            <w:r w:rsidRPr="00C41AB2">
              <w:rPr>
                <w:rFonts w:cs="Calibri Light"/>
                <w:sz w:val="19"/>
                <w:szCs w:val="19"/>
              </w:rPr>
              <w:t>r. Fundusz przekazał do Sądu pismo podsumowujące dotychczasowe stanowisko oraz precyzujące wyliczenie i uzasadnienie dochodzonej kwoty.</w:t>
            </w:r>
          </w:p>
          <w:p w:rsidR="00492FE4" w:rsidRPr="00C41AB2" w:rsidRDefault="00492FE4" w:rsidP="00492FE4">
            <w:pPr>
              <w:spacing w:after="0"/>
              <w:ind w:firstLine="0"/>
              <w:jc w:val="left"/>
              <w:rPr>
                <w:rFonts w:cs="Calibri Light"/>
                <w:sz w:val="19"/>
                <w:szCs w:val="19"/>
              </w:rPr>
            </w:pPr>
            <w:r w:rsidRPr="00C41AB2">
              <w:rPr>
                <w:rFonts w:cs="Calibri Light"/>
                <w:sz w:val="19"/>
                <w:szCs w:val="19"/>
              </w:rPr>
              <w:t>W 2020 r. odbyły się 3 rozprawy.</w:t>
            </w:r>
          </w:p>
          <w:p w:rsidR="00492FE4" w:rsidRPr="00C41AB2" w:rsidRDefault="00492FE4" w:rsidP="00492FE4">
            <w:pPr>
              <w:spacing w:after="0"/>
              <w:ind w:firstLine="0"/>
              <w:jc w:val="left"/>
              <w:rPr>
                <w:rFonts w:cs="Calibri Light"/>
                <w:sz w:val="19"/>
                <w:szCs w:val="19"/>
              </w:rPr>
            </w:pPr>
            <w:r w:rsidRPr="00C41AB2">
              <w:rPr>
                <w:rFonts w:cs="Calibri Light"/>
                <w:sz w:val="19"/>
                <w:szCs w:val="19"/>
                <w:lang w:eastAsia="en-GB"/>
              </w:rPr>
              <w:t xml:space="preserve">W dniu 23 grudnia 2020 r. nastąpiło ogłoszenie wyroku - Sąd oddalił powództwo Funduszu w całości oraz obciążył </w:t>
            </w:r>
            <w:r w:rsidRPr="00C41AB2">
              <w:rPr>
                <w:rFonts w:cs="Calibri Light"/>
                <w:sz w:val="19"/>
                <w:szCs w:val="19"/>
              </w:rPr>
              <w:t>Fundusz kosztami postępowania.</w:t>
            </w:r>
          </w:p>
          <w:p w:rsidR="00492FE4" w:rsidRPr="00C41AB2" w:rsidRDefault="00492FE4" w:rsidP="00492FE4">
            <w:pPr>
              <w:spacing w:after="0"/>
              <w:ind w:firstLine="0"/>
              <w:jc w:val="left"/>
              <w:rPr>
                <w:rFonts w:cs="Calibri Light"/>
                <w:sz w:val="19"/>
                <w:szCs w:val="19"/>
              </w:rPr>
            </w:pPr>
            <w:r w:rsidRPr="00C41AB2">
              <w:rPr>
                <w:rFonts w:cs="Calibri Light"/>
                <w:sz w:val="19"/>
                <w:szCs w:val="19"/>
              </w:rPr>
              <w:t>28.12.2</w:t>
            </w:r>
            <w:r>
              <w:rPr>
                <w:rFonts w:cs="Calibri Light"/>
                <w:sz w:val="19"/>
                <w:szCs w:val="19"/>
              </w:rPr>
              <w:t>020 r. Fundusz złożył wniosek o </w:t>
            </w:r>
            <w:r w:rsidRPr="00C41AB2">
              <w:rPr>
                <w:rFonts w:cs="Calibri Light"/>
                <w:sz w:val="19"/>
                <w:szCs w:val="19"/>
              </w:rPr>
              <w:t>sporządzenie uzasadnienia wyroku i doręczenie wyroku wraz z uzasadnieniem co do całości rozstrzygnięcia.</w:t>
            </w:r>
          </w:p>
          <w:p w:rsidR="00492FE4" w:rsidRPr="00C41AB2" w:rsidRDefault="00492FE4" w:rsidP="00492FE4">
            <w:pPr>
              <w:spacing w:after="0"/>
              <w:ind w:firstLine="0"/>
              <w:jc w:val="left"/>
              <w:rPr>
                <w:rFonts w:cs="Calibri Light"/>
                <w:sz w:val="19"/>
                <w:szCs w:val="19"/>
              </w:rPr>
            </w:pPr>
            <w:r w:rsidRPr="00C41AB2">
              <w:rPr>
                <w:rFonts w:cs="Calibri Light"/>
                <w:sz w:val="19"/>
                <w:szCs w:val="19"/>
              </w:rPr>
              <w:t>18.05.2021 r. Fundusz otrzymał wy</w:t>
            </w:r>
            <w:r w:rsidR="009B5A5F">
              <w:rPr>
                <w:rFonts w:cs="Calibri Light"/>
                <w:sz w:val="19"/>
                <w:szCs w:val="19"/>
              </w:rPr>
              <w:t>rok Sądu Okręgowego w Gdańsku z dnia 23.12.2020 r. wraz z </w:t>
            </w:r>
            <w:r w:rsidRPr="00C41AB2">
              <w:rPr>
                <w:rFonts w:cs="Calibri Light"/>
                <w:sz w:val="19"/>
                <w:szCs w:val="19"/>
              </w:rPr>
              <w:t>uzasadnieniem.</w:t>
            </w:r>
          </w:p>
          <w:p w:rsidR="00492FE4" w:rsidRDefault="00492FE4" w:rsidP="00492FE4">
            <w:pPr>
              <w:spacing w:after="0"/>
              <w:ind w:firstLine="0"/>
              <w:jc w:val="left"/>
              <w:rPr>
                <w:rFonts w:cs="Calibri Light"/>
                <w:sz w:val="19"/>
                <w:szCs w:val="19"/>
              </w:rPr>
            </w:pPr>
            <w:r w:rsidRPr="00C41AB2">
              <w:rPr>
                <w:rFonts w:cs="Calibri Light"/>
                <w:sz w:val="19"/>
                <w:szCs w:val="19"/>
              </w:rPr>
              <w:t>01.06.2021 r. Fundusz złożył apelację zaskarżając w całości ww. wyrok oraz wnosząc o jego zmianę przez uwzg</w:t>
            </w:r>
            <w:r>
              <w:rPr>
                <w:rFonts w:cs="Calibri Light"/>
                <w:sz w:val="19"/>
                <w:szCs w:val="19"/>
              </w:rPr>
              <w:t>lędnienie w całości powództwa o </w:t>
            </w:r>
            <w:r w:rsidRPr="00C41AB2">
              <w:rPr>
                <w:rFonts w:cs="Calibri Light"/>
                <w:sz w:val="19"/>
                <w:szCs w:val="19"/>
              </w:rPr>
              <w:t xml:space="preserve">zapłatę kwoty objętej pozwem, alternatywnie, na wypadek nieuwzględnienia powyższego wniosku – o </w:t>
            </w:r>
            <w:r>
              <w:rPr>
                <w:rFonts w:cs="Calibri Light"/>
                <w:sz w:val="19"/>
                <w:szCs w:val="19"/>
              </w:rPr>
              <w:t>uchylenie zaskarżonego wyroku w </w:t>
            </w:r>
            <w:r w:rsidRPr="00C41AB2">
              <w:rPr>
                <w:rFonts w:cs="Calibri Light"/>
                <w:sz w:val="19"/>
                <w:szCs w:val="19"/>
              </w:rPr>
              <w:t>całości i przekazanie sprawy do ponownego rozpoznania sądowi I instancji.</w:t>
            </w:r>
          </w:p>
          <w:p w:rsidR="00492FE4" w:rsidRDefault="00492FE4" w:rsidP="00492FE4">
            <w:pPr>
              <w:spacing w:after="0"/>
              <w:ind w:firstLine="0"/>
              <w:jc w:val="left"/>
            </w:pPr>
            <w:r w:rsidRPr="00C41AB2">
              <w:rPr>
                <w:rFonts w:cs="Calibri Light"/>
                <w:sz w:val="19"/>
                <w:szCs w:val="19"/>
              </w:rPr>
              <w:t>19.07.2021 r. Fundusz otrzymał odpowiedź Krajowej SKOK na apelację Funduszu.</w:t>
            </w:r>
          </w:p>
          <w:p w:rsidR="00492FE4" w:rsidRDefault="009B5A5F" w:rsidP="00492FE4">
            <w:pPr>
              <w:spacing w:after="0"/>
              <w:ind w:firstLine="0"/>
              <w:jc w:val="left"/>
              <w:rPr>
                <w:rFonts w:cs="Calibri Light"/>
                <w:sz w:val="19"/>
                <w:szCs w:val="19"/>
              </w:rPr>
            </w:pPr>
            <w:r>
              <w:rPr>
                <w:rFonts w:cs="Calibri Light"/>
                <w:sz w:val="19"/>
                <w:szCs w:val="19"/>
              </w:rPr>
              <w:t>21.12.2021 r. Sąd Apelacyjny w </w:t>
            </w:r>
            <w:r w:rsidR="00492FE4" w:rsidRPr="00483C9D">
              <w:rPr>
                <w:rFonts w:cs="Calibri Light"/>
                <w:sz w:val="19"/>
                <w:szCs w:val="19"/>
              </w:rPr>
              <w:t>Gdańsku wydał wyrok uch</w:t>
            </w:r>
            <w:r>
              <w:rPr>
                <w:rFonts w:cs="Calibri Light"/>
                <w:sz w:val="19"/>
                <w:szCs w:val="19"/>
              </w:rPr>
              <w:t>ylający wyrok Sądu Okręgowego z </w:t>
            </w:r>
            <w:r w:rsidR="00492FE4" w:rsidRPr="00483C9D">
              <w:rPr>
                <w:rFonts w:cs="Calibri Light"/>
                <w:sz w:val="19"/>
                <w:szCs w:val="19"/>
              </w:rPr>
              <w:t>23.12.2020 r. i przekazał sprawę Sądowi Okręgowemu w Gdańsku do ponownego rozpoznania i rozstrzygnięcia o kosztach postępowania apelacyjnego.</w:t>
            </w:r>
          </w:p>
          <w:p w:rsidR="00492FE4" w:rsidRPr="00C41AB2" w:rsidRDefault="00492FE4" w:rsidP="00492FE4">
            <w:pPr>
              <w:spacing w:after="0"/>
              <w:ind w:firstLine="0"/>
              <w:jc w:val="left"/>
              <w:rPr>
                <w:rFonts w:cs="Calibri Light"/>
                <w:sz w:val="19"/>
                <w:szCs w:val="19"/>
              </w:rPr>
            </w:pPr>
            <w:r w:rsidRPr="00672616">
              <w:rPr>
                <w:rFonts w:cs="Calibri Light"/>
                <w:sz w:val="19"/>
                <w:szCs w:val="19"/>
              </w:rPr>
              <w:t>29.0</w:t>
            </w:r>
            <w:r w:rsidR="009B5A5F">
              <w:rPr>
                <w:rFonts w:cs="Calibri Light"/>
                <w:sz w:val="19"/>
                <w:szCs w:val="19"/>
              </w:rPr>
              <w:t>6.2022 r. odbyła się rozprawa w </w:t>
            </w:r>
            <w:r w:rsidRPr="00672616">
              <w:rPr>
                <w:rFonts w:cs="Calibri Light"/>
                <w:sz w:val="19"/>
                <w:szCs w:val="19"/>
              </w:rPr>
              <w:t xml:space="preserve">Sądzie Okręgowym w Gdańsku. Sąd wysłuchał stanowisk stron po przekazaniu sprawy do ponownego rozpoznania. </w:t>
            </w:r>
          </w:p>
        </w:tc>
        <w:tc>
          <w:tcPr>
            <w:tcW w:w="1701" w:type="dxa"/>
          </w:tcPr>
          <w:p w:rsidR="00492FE4" w:rsidRDefault="00492FE4" w:rsidP="00492FE4">
            <w:pPr>
              <w:pStyle w:val="Normal1"/>
              <w:spacing w:before="0" w:after="0" w:line="240" w:lineRule="auto"/>
              <w:jc w:val="left"/>
              <w:rPr>
                <w:rFonts w:ascii="Calibri Light" w:eastAsia="Calibri" w:hAnsi="Calibri Light" w:cs="Calibri Light"/>
                <w:sz w:val="19"/>
                <w:szCs w:val="19"/>
              </w:rPr>
            </w:pPr>
            <w:r>
              <w:rPr>
                <w:rFonts w:ascii="Calibri Light" w:eastAsia="Calibri" w:hAnsi="Calibri Light" w:cs="Calibri Light"/>
                <w:sz w:val="19"/>
                <w:szCs w:val="19"/>
              </w:rPr>
              <w:t>14.09.2022 r. odbyła się kolejna rozprawa w Sądzie Okręgowym w Gdańsku. Sąd odroczył sprawę bez terminu.</w:t>
            </w:r>
          </w:p>
          <w:p w:rsidR="00492FE4" w:rsidRPr="00C41AB2" w:rsidRDefault="00492FE4" w:rsidP="00492FE4">
            <w:pPr>
              <w:pStyle w:val="Normal1"/>
              <w:spacing w:before="0" w:after="0" w:line="240" w:lineRule="auto"/>
              <w:jc w:val="left"/>
              <w:rPr>
                <w:rFonts w:ascii="Calibri Light" w:eastAsia="Calibri" w:hAnsi="Calibri Light" w:cs="Calibri Light"/>
                <w:sz w:val="19"/>
                <w:szCs w:val="19"/>
              </w:rPr>
            </w:pPr>
          </w:p>
        </w:tc>
      </w:tr>
      <w:tr w:rsidR="00492FE4" w:rsidRPr="00092A7C" w:rsidTr="009B6C52">
        <w:tc>
          <w:tcPr>
            <w:tcW w:w="426" w:type="dxa"/>
          </w:tcPr>
          <w:p w:rsidR="00492FE4" w:rsidRPr="00C41AB2" w:rsidRDefault="00492FE4" w:rsidP="00492FE4">
            <w:pPr>
              <w:spacing w:after="0"/>
              <w:ind w:firstLine="0"/>
              <w:rPr>
                <w:rFonts w:cs="Calibri Light"/>
                <w:sz w:val="19"/>
                <w:szCs w:val="19"/>
              </w:rPr>
            </w:pPr>
            <w:r w:rsidRPr="00C41AB2">
              <w:rPr>
                <w:rFonts w:cs="Calibri Light"/>
                <w:sz w:val="19"/>
                <w:szCs w:val="19"/>
              </w:rPr>
              <w:t>2.</w:t>
            </w:r>
          </w:p>
        </w:tc>
        <w:tc>
          <w:tcPr>
            <w:tcW w:w="1417" w:type="dxa"/>
          </w:tcPr>
          <w:p w:rsidR="00492FE4" w:rsidRPr="00C41AB2" w:rsidRDefault="00492FE4" w:rsidP="00492FE4">
            <w:pPr>
              <w:spacing w:after="0"/>
              <w:ind w:firstLine="0"/>
              <w:rPr>
                <w:rFonts w:cs="Calibri Light"/>
                <w:sz w:val="19"/>
                <w:szCs w:val="19"/>
              </w:rPr>
            </w:pPr>
            <w:r w:rsidRPr="00C41AB2">
              <w:rPr>
                <w:rFonts w:cs="Calibri Light"/>
                <w:sz w:val="19"/>
                <w:szCs w:val="19"/>
              </w:rPr>
              <w:t>jednostka samorządu terytorialnego (j.s.t.)</w:t>
            </w:r>
          </w:p>
        </w:tc>
        <w:tc>
          <w:tcPr>
            <w:tcW w:w="1276" w:type="dxa"/>
          </w:tcPr>
          <w:p w:rsidR="00492FE4" w:rsidRPr="00C41AB2" w:rsidRDefault="00492FE4" w:rsidP="00492FE4">
            <w:pPr>
              <w:spacing w:after="0"/>
              <w:ind w:firstLine="0"/>
              <w:jc w:val="left"/>
              <w:rPr>
                <w:rFonts w:cs="Calibri Light"/>
                <w:sz w:val="19"/>
                <w:szCs w:val="19"/>
              </w:rPr>
            </w:pPr>
            <w:r w:rsidRPr="00C41AB2">
              <w:rPr>
                <w:rFonts w:cs="Calibri Light"/>
                <w:sz w:val="19"/>
                <w:szCs w:val="19"/>
              </w:rPr>
              <w:t>Bankowy Fundusz Gwarancyjny</w:t>
            </w:r>
          </w:p>
        </w:tc>
        <w:tc>
          <w:tcPr>
            <w:tcW w:w="1418" w:type="dxa"/>
          </w:tcPr>
          <w:p w:rsidR="00492FE4" w:rsidRPr="00C41AB2" w:rsidRDefault="00492FE4" w:rsidP="00492FE4">
            <w:pPr>
              <w:spacing w:after="0"/>
              <w:ind w:firstLine="0"/>
              <w:jc w:val="center"/>
              <w:rPr>
                <w:rFonts w:cs="Calibri Light"/>
                <w:sz w:val="19"/>
                <w:szCs w:val="19"/>
              </w:rPr>
            </w:pPr>
            <w:r w:rsidRPr="00C41AB2">
              <w:rPr>
                <w:rFonts w:cs="Calibri Light"/>
                <w:sz w:val="19"/>
                <w:szCs w:val="19"/>
              </w:rPr>
              <w:t>17.01.2017 r.</w:t>
            </w:r>
          </w:p>
        </w:tc>
        <w:tc>
          <w:tcPr>
            <w:tcW w:w="3118" w:type="dxa"/>
          </w:tcPr>
          <w:p w:rsidR="00492FE4" w:rsidRPr="00C41AB2" w:rsidRDefault="00492FE4" w:rsidP="00492FE4">
            <w:pPr>
              <w:spacing w:after="0"/>
              <w:ind w:firstLine="0"/>
              <w:jc w:val="left"/>
              <w:rPr>
                <w:rFonts w:cs="Calibri Light"/>
                <w:sz w:val="19"/>
                <w:szCs w:val="19"/>
              </w:rPr>
            </w:pPr>
            <w:r w:rsidRPr="00C41AB2">
              <w:rPr>
                <w:rFonts w:cs="Calibri Light"/>
                <w:sz w:val="19"/>
                <w:szCs w:val="19"/>
              </w:rPr>
              <w:t>Pozew o zapłatę kwoty 188 182,27 zł wraz z odsetkami ustawowymi z tytułu środków gwarantowanych należnych jednostkom organizacyjnym j.s.t. w związku ze spełnieniem warunku gwarancji wobec SBRiR w Wołominie oraz o ustalenie, że pomiędzy Fu</w:t>
            </w:r>
            <w:r>
              <w:rPr>
                <w:rFonts w:cs="Calibri Light"/>
                <w:sz w:val="19"/>
                <w:szCs w:val="19"/>
              </w:rPr>
              <w:t>nduszem a każdą ze wskazanych w </w:t>
            </w:r>
            <w:r w:rsidRPr="00C41AB2">
              <w:rPr>
                <w:rFonts w:cs="Calibri Light"/>
                <w:sz w:val="19"/>
                <w:szCs w:val="19"/>
              </w:rPr>
              <w:t xml:space="preserve">pozwie jednostek organizacyjnych j.s.t. został nawiązany stosunek gwarancji na mocy </w:t>
            </w:r>
            <w:r w:rsidRPr="00C41AB2">
              <w:rPr>
                <w:rFonts w:cs="Calibri Light"/>
                <w:i/>
                <w:sz w:val="19"/>
                <w:szCs w:val="19"/>
              </w:rPr>
              <w:t>ustawy z dnia 14.12.1994 r. o Bankowym Funduszu Gwarancyjnym.</w:t>
            </w:r>
          </w:p>
          <w:p w:rsidR="00492FE4" w:rsidRPr="00C41AB2" w:rsidRDefault="00492FE4" w:rsidP="00492FE4">
            <w:pPr>
              <w:spacing w:after="0"/>
              <w:ind w:firstLine="0"/>
              <w:jc w:val="left"/>
              <w:rPr>
                <w:rFonts w:cs="Calibri Light"/>
                <w:sz w:val="19"/>
                <w:szCs w:val="19"/>
              </w:rPr>
            </w:pPr>
            <w:r w:rsidRPr="00C41AB2">
              <w:rPr>
                <w:rFonts w:cs="Calibri Light"/>
                <w:sz w:val="19"/>
                <w:szCs w:val="19"/>
              </w:rPr>
              <w:t>W 2017 r. odbyła się wymiana pism procesowych dotyczących pozwu.</w:t>
            </w:r>
          </w:p>
          <w:p w:rsidR="00492FE4" w:rsidRPr="00C41AB2" w:rsidRDefault="00492FE4" w:rsidP="00492FE4">
            <w:pPr>
              <w:spacing w:after="0"/>
              <w:ind w:firstLine="0"/>
              <w:jc w:val="left"/>
              <w:rPr>
                <w:rFonts w:cs="Calibri Light"/>
                <w:sz w:val="19"/>
                <w:szCs w:val="19"/>
              </w:rPr>
            </w:pPr>
            <w:r w:rsidRPr="00C41AB2">
              <w:rPr>
                <w:rFonts w:cs="Calibri Light"/>
                <w:sz w:val="19"/>
                <w:szCs w:val="19"/>
              </w:rPr>
              <w:t>23.11.2017 r. Sąd Okręgowy ogłosił wyrok oddalając powództwo w całości.</w:t>
            </w:r>
          </w:p>
          <w:p w:rsidR="00492FE4" w:rsidRPr="00C41AB2" w:rsidRDefault="00492FE4" w:rsidP="00492FE4">
            <w:pPr>
              <w:spacing w:after="0"/>
              <w:ind w:firstLine="0"/>
              <w:jc w:val="left"/>
              <w:rPr>
                <w:rFonts w:cs="Calibri Light"/>
                <w:sz w:val="19"/>
                <w:szCs w:val="19"/>
              </w:rPr>
            </w:pPr>
            <w:r w:rsidRPr="00C41AB2">
              <w:rPr>
                <w:rFonts w:cs="Calibri Light"/>
                <w:sz w:val="19"/>
                <w:szCs w:val="19"/>
              </w:rPr>
              <w:t>9.04.2018 r. Fundusz otrzymał apelację powoda.</w:t>
            </w:r>
          </w:p>
          <w:p w:rsidR="00492FE4" w:rsidRPr="00C41AB2" w:rsidRDefault="00492FE4" w:rsidP="00492FE4">
            <w:pPr>
              <w:spacing w:after="0"/>
              <w:ind w:firstLine="0"/>
              <w:jc w:val="left"/>
              <w:rPr>
                <w:rFonts w:cs="Calibri Light"/>
                <w:sz w:val="19"/>
                <w:szCs w:val="19"/>
              </w:rPr>
            </w:pPr>
            <w:r w:rsidRPr="00C41AB2">
              <w:rPr>
                <w:rFonts w:cs="Calibri Light"/>
                <w:sz w:val="19"/>
                <w:szCs w:val="19"/>
              </w:rPr>
              <w:t xml:space="preserve">26.06.2019 r. odbyła się rozprawa apelacyjna, Sąd Apelacyjny oddalił w całości apelację powoda. </w:t>
            </w:r>
          </w:p>
          <w:p w:rsidR="00492FE4" w:rsidRPr="00C41AB2" w:rsidRDefault="00492FE4" w:rsidP="00492FE4">
            <w:pPr>
              <w:spacing w:after="0"/>
              <w:ind w:firstLine="0"/>
              <w:jc w:val="left"/>
              <w:rPr>
                <w:rFonts w:cs="Calibri Light"/>
                <w:sz w:val="19"/>
                <w:szCs w:val="19"/>
              </w:rPr>
            </w:pPr>
            <w:r w:rsidRPr="00C41AB2">
              <w:rPr>
                <w:rFonts w:cs="Calibri Light"/>
                <w:sz w:val="19"/>
                <w:szCs w:val="19"/>
              </w:rPr>
              <w:t xml:space="preserve">8.10.2019 r. do Funduszu wpłynęła skarga kasacyjna powoda. </w:t>
            </w:r>
          </w:p>
          <w:p w:rsidR="00492FE4" w:rsidRPr="00C41AB2" w:rsidRDefault="00492FE4" w:rsidP="00492FE4">
            <w:pPr>
              <w:spacing w:after="0"/>
              <w:ind w:firstLine="0"/>
              <w:jc w:val="left"/>
              <w:rPr>
                <w:rFonts w:cs="Calibri Light"/>
                <w:sz w:val="19"/>
                <w:szCs w:val="19"/>
              </w:rPr>
            </w:pPr>
            <w:r w:rsidRPr="00C41AB2">
              <w:rPr>
                <w:rFonts w:cs="Calibri Light"/>
                <w:sz w:val="19"/>
                <w:szCs w:val="19"/>
              </w:rPr>
              <w:t>22.10.2019 r. Fundusz złożył odpowiedź na skargę kasacyjną wnosząc o odmowę przyjęcia skargi do rozpoznania z uwagi na brak istnienia i</w:t>
            </w:r>
            <w:r>
              <w:rPr>
                <w:rFonts w:cs="Calibri Light"/>
                <w:sz w:val="19"/>
                <w:szCs w:val="19"/>
              </w:rPr>
              <w:t>stotnego zagadnienia prawnego w </w:t>
            </w:r>
            <w:r w:rsidRPr="00C41AB2">
              <w:rPr>
                <w:rFonts w:cs="Calibri Light"/>
                <w:sz w:val="19"/>
                <w:szCs w:val="19"/>
              </w:rPr>
              <w:t>przedmiotowej sprawie, a w przypadku nieuwzględnienia tego wniosku – o oddalenie skargi kasacyjnej w całości jako oczywiście bezzasadnej.</w:t>
            </w:r>
          </w:p>
          <w:p w:rsidR="00492FE4" w:rsidRPr="00C41AB2" w:rsidRDefault="00492FE4" w:rsidP="00492FE4">
            <w:pPr>
              <w:spacing w:after="0"/>
              <w:ind w:firstLine="0"/>
              <w:jc w:val="left"/>
              <w:rPr>
                <w:rFonts w:cs="Calibri Light"/>
                <w:sz w:val="19"/>
                <w:szCs w:val="19"/>
              </w:rPr>
            </w:pPr>
            <w:r w:rsidRPr="00C41AB2">
              <w:rPr>
                <w:rFonts w:cs="Calibri Light"/>
                <w:sz w:val="19"/>
                <w:szCs w:val="19"/>
              </w:rPr>
              <w:t>21.08.2020 r. Sąd Najwyższy przyjął skargę kasacyjną do rozpoznania.</w:t>
            </w:r>
          </w:p>
        </w:tc>
        <w:tc>
          <w:tcPr>
            <w:tcW w:w="1701" w:type="dxa"/>
          </w:tcPr>
          <w:p w:rsidR="00492FE4" w:rsidRPr="00C41AB2" w:rsidRDefault="00492FE4" w:rsidP="00492FE4">
            <w:pPr>
              <w:spacing w:after="0"/>
              <w:ind w:firstLine="0"/>
              <w:jc w:val="left"/>
              <w:rPr>
                <w:rFonts w:cs="Calibri Light"/>
                <w:sz w:val="19"/>
                <w:szCs w:val="19"/>
              </w:rPr>
            </w:pPr>
            <w:r>
              <w:rPr>
                <w:rFonts w:cs="Calibri Light"/>
                <w:sz w:val="19"/>
                <w:szCs w:val="19"/>
              </w:rPr>
              <w:t>b</w:t>
            </w:r>
            <w:r w:rsidRPr="00C41AB2">
              <w:rPr>
                <w:rFonts w:cs="Calibri Light"/>
                <w:sz w:val="19"/>
                <w:szCs w:val="19"/>
              </w:rPr>
              <w:t>rak zdarzeń w okresie sprawozdawczym</w:t>
            </w:r>
          </w:p>
        </w:tc>
      </w:tr>
      <w:tr w:rsidR="00492FE4" w:rsidRPr="00092A7C" w:rsidTr="009B6C52">
        <w:trPr>
          <w:trHeight w:val="583"/>
        </w:trPr>
        <w:tc>
          <w:tcPr>
            <w:tcW w:w="426" w:type="dxa"/>
          </w:tcPr>
          <w:p w:rsidR="00492FE4" w:rsidRPr="00C41AB2" w:rsidRDefault="00492FE4" w:rsidP="00492FE4">
            <w:pPr>
              <w:ind w:firstLine="0"/>
              <w:rPr>
                <w:rFonts w:cs="Calibri Light"/>
                <w:sz w:val="19"/>
                <w:szCs w:val="19"/>
              </w:rPr>
            </w:pPr>
            <w:r>
              <w:rPr>
                <w:rFonts w:cs="Calibri Light"/>
                <w:sz w:val="19"/>
                <w:szCs w:val="19"/>
              </w:rPr>
              <w:t>3</w:t>
            </w:r>
            <w:r w:rsidRPr="00C41AB2">
              <w:rPr>
                <w:rFonts w:cs="Calibri Light"/>
                <w:sz w:val="19"/>
                <w:szCs w:val="19"/>
              </w:rPr>
              <w:t>.</w:t>
            </w:r>
          </w:p>
        </w:tc>
        <w:tc>
          <w:tcPr>
            <w:tcW w:w="1417" w:type="dxa"/>
          </w:tcPr>
          <w:p w:rsidR="00492FE4" w:rsidRPr="00C41AB2" w:rsidRDefault="00492FE4" w:rsidP="00492FE4">
            <w:pPr>
              <w:ind w:firstLine="0"/>
              <w:rPr>
                <w:rFonts w:cs="Calibri Light"/>
                <w:sz w:val="19"/>
                <w:szCs w:val="19"/>
              </w:rPr>
            </w:pPr>
            <w:r w:rsidRPr="00C41AB2">
              <w:rPr>
                <w:rFonts w:cs="Calibri Light"/>
                <w:sz w:val="19"/>
                <w:szCs w:val="19"/>
              </w:rPr>
              <w:t>osoba fizyczna</w:t>
            </w:r>
          </w:p>
        </w:tc>
        <w:tc>
          <w:tcPr>
            <w:tcW w:w="1276" w:type="dxa"/>
          </w:tcPr>
          <w:p w:rsidR="00492FE4" w:rsidRPr="00C41AB2" w:rsidRDefault="00492FE4" w:rsidP="00492FE4">
            <w:pPr>
              <w:ind w:firstLine="0"/>
              <w:jc w:val="left"/>
              <w:rPr>
                <w:rFonts w:cs="Calibri Light"/>
                <w:sz w:val="19"/>
                <w:szCs w:val="19"/>
              </w:rPr>
            </w:pPr>
            <w:r w:rsidRPr="00C41AB2">
              <w:rPr>
                <w:rFonts w:cs="Calibri Light"/>
                <w:sz w:val="19"/>
                <w:szCs w:val="19"/>
              </w:rPr>
              <w:t>Bankowy Fundusz Gwarancyjny</w:t>
            </w:r>
          </w:p>
        </w:tc>
        <w:tc>
          <w:tcPr>
            <w:tcW w:w="1418" w:type="dxa"/>
          </w:tcPr>
          <w:p w:rsidR="00492FE4" w:rsidRPr="00C41AB2" w:rsidRDefault="00492FE4" w:rsidP="00492FE4">
            <w:pPr>
              <w:ind w:firstLine="0"/>
              <w:jc w:val="center"/>
              <w:rPr>
                <w:rFonts w:cs="Calibri Light"/>
                <w:sz w:val="19"/>
                <w:szCs w:val="19"/>
              </w:rPr>
            </w:pPr>
            <w:r w:rsidRPr="00C41AB2">
              <w:rPr>
                <w:rFonts w:cs="Calibri Light"/>
                <w:sz w:val="19"/>
                <w:szCs w:val="19"/>
              </w:rPr>
              <w:t>09.06.2017 r.</w:t>
            </w:r>
          </w:p>
        </w:tc>
        <w:tc>
          <w:tcPr>
            <w:tcW w:w="3118" w:type="dxa"/>
          </w:tcPr>
          <w:p w:rsidR="00492FE4" w:rsidRPr="00C41AB2" w:rsidRDefault="00492FE4" w:rsidP="00492FE4">
            <w:pPr>
              <w:spacing w:after="0"/>
              <w:ind w:firstLine="0"/>
              <w:jc w:val="left"/>
              <w:rPr>
                <w:rFonts w:cs="Calibri Light"/>
                <w:sz w:val="19"/>
                <w:szCs w:val="19"/>
              </w:rPr>
            </w:pPr>
            <w:r w:rsidRPr="00C41AB2">
              <w:rPr>
                <w:rFonts w:cs="Calibri Light"/>
                <w:sz w:val="19"/>
                <w:szCs w:val="19"/>
              </w:rPr>
              <w:t>Pozew o zapłatę kwoty 1 000 zł wraz z odsetkami ustawowymi z tytułu środków gwa</w:t>
            </w:r>
            <w:r>
              <w:rPr>
                <w:rFonts w:cs="Calibri Light"/>
                <w:sz w:val="19"/>
                <w:szCs w:val="19"/>
              </w:rPr>
              <w:t>rantowanych w związku ze </w:t>
            </w:r>
            <w:r w:rsidRPr="00C41AB2">
              <w:rPr>
                <w:rFonts w:cs="Calibri Light"/>
                <w:sz w:val="19"/>
                <w:szCs w:val="19"/>
              </w:rPr>
              <w:t>spełnieniem warunku gwarancji wobec SBRiR w Wołominie.</w:t>
            </w:r>
          </w:p>
          <w:p w:rsidR="00492FE4" w:rsidRPr="00C41AB2" w:rsidRDefault="00492FE4" w:rsidP="00492FE4">
            <w:pPr>
              <w:spacing w:after="0"/>
              <w:ind w:firstLine="0"/>
              <w:jc w:val="left"/>
              <w:rPr>
                <w:rFonts w:cs="Calibri Light"/>
                <w:sz w:val="19"/>
                <w:szCs w:val="19"/>
              </w:rPr>
            </w:pPr>
            <w:r w:rsidRPr="00C41AB2">
              <w:rPr>
                <w:rFonts w:cs="Calibri Light"/>
                <w:sz w:val="19"/>
                <w:szCs w:val="19"/>
              </w:rPr>
              <w:t xml:space="preserve">Postępowanie sądowe zawieszone od 3.11.2017 r. </w:t>
            </w:r>
          </w:p>
          <w:p w:rsidR="00492FE4" w:rsidRDefault="00492FE4" w:rsidP="00492FE4">
            <w:pPr>
              <w:spacing w:after="0"/>
              <w:ind w:firstLine="0"/>
              <w:jc w:val="left"/>
              <w:rPr>
                <w:rFonts w:cs="Calibri Light"/>
                <w:sz w:val="19"/>
                <w:szCs w:val="19"/>
              </w:rPr>
            </w:pPr>
            <w:r w:rsidRPr="00C41AB2">
              <w:rPr>
                <w:rFonts w:cs="Calibri Light"/>
                <w:sz w:val="19"/>
                <w:szCs w:val="19"/>
              </w:rPr>
              <w:t>W dniu 24.05.2021 r. Fundusz otrzymał wniosek powoda o podjęcie zawi</w:t>
            </w:r>
            <w:r>
              <w:rPr>
                <w:rFonts w:cs="Calibri Light"/>
                <w:sz w:val="19"/>
                <w:szCs w:val="19"/>
              </w:rPr>
              <w:t>eszonego postępowania. Pismem z </w:t>
            </w:r>
            <w:r w:rsidRPr="00C41AB2">
              <w:rPr>
                <w:rFonts w:cs="Calibri Light"/>
                <w:sz w:val="19"/>
                <w:szCs w:val="19"/>
              </w:rPr>
              <w:t>dnia 07.06.2021 r. Fundusz, realizując zobowiązanie Sądu do przedstawienia stanowiska w sprawie ww. wniosku powoda, pozostawił kwestię podjęcia zawieszonego postępowania do uznania Sądu.</w:t>
            </w:r>
          </w:p>
          <w:p w:rsidR="00492FE4" w:rsidRDefault="00492FE4" w:rsidP="00492FE4">
            <w:pPr>
              <w:spacing w:after="0"/>
              <w:ind w:firstLine="0"/>
              <w:jc w:val="left"/>
              <w:rPr>
                <w:rFonts w:cs="Calibri Light"/>
                <w:sz w:val="19"/>
                <w:szCs w:val="19"/>
              </w:rPr>
            </w:pPr>
            <w:r>
              <w:rPr>
                <w:rFonts w:cs="Calibri Light"/>
                <w:sz w:val="19"/>
                <w:szCs w:val="19"/>
              </w:rPr>
              <w:t>2.11.2021 r. Sąd wydał postanowienie o podjęciu zawieszonego postępo</w:t>
            </w:r>
            <w:bookmarkStart w:id="120" w:name="_GoBack"/>
            <w:bookmarkEnd w:id="120"/>
            <w:r>
              <w:rPr>
                <w:rFonts w:cs="Calibri Light"/>
                <w:sz w:val="19"/>
                <w:szCs w:val="19"/>
              </w:rPr>
              <w:t>wania.</w:t>
            </w:r>
          </w:p>
          <w:p w:rsidR="00492FE4" w:rsidRPr="009E7EDE" w:rsidRDefault="00492FE4" w:rsidP="00492FE4">
            <w:pPr>
              <w:spacing w:after="0"/>
              <w:ind w:firstLine="0"/>
              <w:jc w:val="left"/>
              <w:rPr>
                <w:rFonts w:cs="Calibri Light"/>
                <w:sz w:val="19"/>
                <w:szCs w:val="19"/>
              </w:rPr>
            </w:pPr>
            <w:r w:rsidRPr="009E7EDE">
              <w:rPr>
                <w:rFonts w:cs="Calibri Light"/>
                <w:sz w:val="19"/>
                <w:szCs w:val="19"/>
              </w:rPr>
              <w:t>21.0</w:t>
            </w:r>
            <w:r w:rsidR="009B5A5F">
              <w:rPr>
                <w:rFonts w:cs="Calibri Light"/>
                <w:sz w:val="19"/>
                <w:szCs w:val="19"/>
              </w:rPr>
              <w:t>1.2022 r. odbyła się rozprawa w </w:t>
            </w:r>
            <w:r w:rsidRPr="009E7EDE">
              <w:rPr>
                <w:rFonts w:cs="Calibri Light"/>
                <w:sz w:val="19"/>
                <w:szCs w:val="19"/>
              </w:rPr>
              <w:t>przedmiotowej sprawi</w:t>
            </w:r>
            <w:r w:rsidR="009B5A5F">
              <w:rPr>
                <w:rFonts w:cs="Calibri Light"/>
                <w:sz w:val="19"/>
                <w:szCs w:val="19"/>
              </w:rPr>
              <w:t>e. 25.03.2022 Fundusz zgodnie z </w:t>
            </w:r>
            <w:r w:rsidRPr="009E7EDE">
              <w:rPr>
                <w:rFonts w:cs="Calibri Light"/>
                <w:sz w:val="19"/>
                <w:szCs w:val="19"/>
              </w:rPr>
              <w:t>zobowiązaniem Sądu przesłał ostateczne stanowisko w</w:t>
            </w:r>
            <w:r w:rsidR="009B5A5F">
              <w:rPr>
                <w:rFonts w:cs="Calibri Light"/>
                <w:sz w:val="19"/>
                <w:szCs w:val="19"/>
              </w:rPr>
              <w:t xml:space="preserve"> sprawie podtrzymując wniosek o </w:t>
            </w:r>
            <w:r w:rsidRPr="009E7EDE">
              <w:rPr>
                <w:rFonts w:cs="Calibri Light"/>
                <w:sz w:val="19"/>
                <w:szCs w:val="19"/>
              </w:rPr>
              <w:t>oddalenie powództwa w całości jako bezzasadnego.</w:t>
            </w:r>
          </w:p>
          <w:p w:rsidR="00492FE4" w:rsidRPr="00C41AB2" w:rsidRDefault="00492FE4" w:rsidP="00492FE4">
            <w:pPr>
              <w:spacing w:after="0"/>
              <w:ind w:firstLine="0"/>
              <w:jc w:val="left"/>
              <w:rPr>
                <w:rFonts w:cs="Calibri Light"/>
                <w:sz w:val="19"/>
                <w:szCs w:val="19"/>
              </w:rPr>
            </w:pPr>
            <w:r w:rsidRPr="009E7EDE">
              <w:rPr>
                <w:rFonts w:cs="Calibri Light"/>
                <w:sz w:val="19"/>
                <w:szCs w:val="19"/>
              </w:rPr>
              <w:t>Sąd skierował sprawę na posiedzenie niejawne celem wydania wyroku</w:t>
            </w:r>
            <w:r>
              <w:rPr>
                <w:rFonts w:cs="Calibri Light"/>
                <w:sz w:val="19"/>
                <w:szCs w:val="19"/>
              </w:rPr>
              <w:t xml:space="preserve">, jednak </w:t>
            </w:r>
            <w:r w:rsidRPr="009E7EDE">
              <w:rPr>
                <w:rFonts w:cs="Calibri Light"/>
                <w:sz w:val="19"/>
                <w:szCs w:val="19"/>
              </w:rPr>
              <w:t>termin posiedzenia wyznaczony na 3.06.2022 r.</w:t>
            </w:r>
            <w:r w:rsidR="009B5A5F">
              <w:rPr>
                <w:rFonts w:cs="Calibri Light"/>
                <w:sz w:val="19"/>
                <w:szCs w:val="19"/>
              </w:rPr>
              <w:t xml:space="preserve"> został odwołany w związku z </w:t>
            </w:r>
            <w:r>
              <w:rPr>
                <w:rFonts w:cs="Calibri Light"/>
                <w:sz w:val="19"/>
                <w:szCs w:val="19"/>
              </w:rPr>
              <w:t xml:space="preserve">rozbieżnościami </w:t>
            </w:r>
            <w:r w:rsidRPr="00B445F0">
              <w:rPr>
                <w:rFonts w:cs="Calibri Light"/>
                <w:sz w:val="19"/>
                <w:szCs w:val="19"/>
              </w:rPr>
              <w:t xml:space="preserve">między informacjami od </w:t>
            </w:r>
            <w:r>
              <w:rPr>
                <w:rFonts w:cs="Calibri Light"/>
                <w:sz w:val="19"/>
                <w:szCs w:val="19"/>
              </w:rPr>
              <w:t xml:space="preserve">powoda </w:t>
            </w:r>
            <w:r w:rsidR="009B5A5F">
              <w:rPr>
                <w:rFonts w:cs="Calibri Light"/>
                <w:sz w:val="19"/>
                <w:szCs w:val="19"/>
              </w:rPr>
              <w:t>a </w:t>
            </w:r>
            <w:r w:rsidRPr="00B445F0">
              <w:rPr>
                <w:rFonts w:cs="Calibri Light"/>
                <w:sz w:val="19"/>
                <w:szCs w:val="19"/>
              </w:rPr>
              <w:t>informacjami od sądu upadłościowego co do praw</w:t>
            </w:r>
            <w:r w:rsidR="009B5A5F">
              <w:rPr>
                <w:rFonts w:cs="Calibri Light"/>
                <w:sz w:val="19"/>
                <w:szCs w:val="19"/>
              </w:rPr>
              <w:t>omocności listy wierzytelności.</w:t>
            </w:r>
          </w:p>
        </w:tc>
        <w:tc>
          <w:tcPr>
            <w:tcW w:w="1701" w:type="dxa"/>
          </w:tcPr>
          <w:p w:rsidR="00492FE4" w:rsidRPr="00C41AB2" w:rsidRDefault="009B5A5F" w:rsidP="00492FE4">
            <w:pPr>
              <w:spacing w:after="0"/>
              <w:ind w:firstLine="0"/>
              <w:jc w:val="left"/>
              <w:rPr>
                <w:rFonts w:cs="Calibri Light"/>
                <w:sz w:val="19"/>
                <w:szCs w:val="19"/>
              </w:rPr>
            </w:pPr>
            <w:r>
              <w:rPr>
                <w:rFonts w:cs="Calibri Light"/>
                <w:sz w:val="19"/>
                <w:szCs w:val="19"/>
              </w:rPr>
              <w:t>brak zdarzeń w </w:t>
            </w:r>
            <w:r w:rsidR="00492FE4">
              <w:rPr>
                <w:rFonts w:cs="Calibri Light"/>
                <w:sz w:val="19"/>
                <w:szCs w:val="19"/>
              </w:rPr>
              <w:t>okresie sprawozdawczym</w:t>
            </w:r>
          </w:p>
        </w:tc>
      </w:tr>
      <w:tr w:rsidR="00492FE4" w:rsidRPr="00092A7C" w:rsidTr="009B6C52">
        <w:tc>
          <w:tcPr>
            <w:tcW w:w="426" w:type="dxa"/>
          </w:tcPr>
          <w:p w:rsidR="00492FE4" w:rsidRPr="00C41AB2" w:rsidRDefault="00492FE4" w:rsidP="00492FE4">
            <w:pPr>
              <w:spacing w:after="0"/>
              <w:ind w:firstLine="0"/>
              <w:rPr>
                <w:rFonts w:cs="Calibri Light"/>
                <w:sz w:val="19"/>
                <w:szCs w:val="19"/>
              </w:rPr>
            </w:pPr>
            <w:r>
              <w:rPr>
                <w:rFonts w:cs="Calibri Light"/>
                <w:sz w:val="19"/>
                <w:szCs w:val="19"/>
              </w:rPr>
              <w:t>4</w:t>
            </w:r>
            <w:r w:rsidRPr="00C41AB2">
              <w:rPr>
                <w:rFonts w:cs="Calibri Light"/>
                <w:sz w:val="19"/>
                <w:szCs w:val="19"/>
              </w:rPr>
              <w:t>.</w:t>
            </w:r>
          </w:p>
        </w:tc>
        <w:tc>
          <w:tcPr>
            <w:tcW w:w="1417" w:type="dxa"/>
          </w:tcPr>
          <w:p w:rsidR="00492FE4" w:rsidRPr="00C41AB2" w:rsidRDefault="00492FE4" w:rsidP="00492FE4">
            <w:pPr>
              <w:spacing w:after="0"/>
              <w:ind w:firstLine="0"/>
              <w:rPr>
                <w:rFonts w:cs="Calibri Light"/>
                <w:sz w:val="19"/>
                <w:szCs w:val="19"/>
              </w:rPr>
            </w:pPr>
            <w:r>
              <w:rPr>
                <w:rFonts w:cs="Calibri Light"/>
                <w:sz w:val="19"/>
                <w:szCs w:val="19"/>
              </w:rPr>
              <w:t>stowarzyszenie</w:t>
            </w:r>
          </w:p>
        </w:tc>
        <w:tc>
          <w:tcPr>
            <w:tcW w:w="1276" w:type="dxa"/>
          </w:tcPr>
          <w:p w:rsidR="00492FE4" w:rsidRPr="00C41AB2" w:rsidRDefault="00492FE4" w:rsidP="00492FE4">
            <w:pPr>
              <w:spacing w:after="0"/>
              <w:ind w:firstLine="0"/>
              <w:jc w:val="left"/>
              <w:rPr>
                <w:rFonts w:cs="Calibri Light"/>
                <w:sz w:val="19"/>
                <w:szCs w:val="19"/>
              </w:rPr>
            </w:pPr>
            <w:r w:rsidRPr="00C41AB2">
              <w:rPr>
                <w:rFonts w:cs="Calibri Light"/>
                <w:sz w:val="19"/>
                <w:szCs w:val="19"/>
              </w:rPr>
              <w:t>Bankowy Fundusz Gwarancyjny</w:t>
            </w:r>
          </w:p>
        </w:tc>
        <w:tc>
          <w:tcPr>
            <w:tcW w:w="1418" w:type="dxa"/>
          </w:tcPr>
          <w:p w:rsidR="00492FE4" w:rsidRPr="00C41AB2" w:rsidRDefault="00492FE4" w:rsidP="00492FE4">
            <w:pPr>
              <w:spacing w:after="0"/>
              <w:ind w:firstLine="0"/>
              <w:jc w:val="center"/>
              <w:rPr>
                <w:rFonts w:cs="Calibri Light"/>
                <w:sz w:val="19"/>
                <w:szCs w:val="19"/>
              </w:rPr>
            </w:pPr>
            <w:r>
              <w:rPr>
                <w:rFonts w:cs="Calibri Light"/>
                <w:sz w:val="19"/>
                <w:szCs w:val="19"/>
              </w:rPr>
              <w:t>20.10.2021 r.</w:t>
            </w:r>
          </w:p>
        </w:tc>
        <w:tc>
          <w:tcPr>
            <w:tcW w:w="3118" w:type="dxa"/>
          </w:tcPr>
          <w:p w:rsidR="00492FE4" w:rsidRDefault="009B5A5F" w:rsidP="00492FE4">
            <w:pPr>
              <w:spacing w:after="0"/>
              <w:ind w:firstLine="0"/>
              <w:jc w:val="left"/>
              <w:rPr>
                <w:rFonts w:cs="Calibri Light"/>
                <w:sz w:val="19"/>
                <w:szCs w:val="19"/>
              </w:rPr>
            </w:pPr>
            <w:r>
              <w:rPr>
                <w:rFonts w:cs="Calibri Light"/>
                <w:sz w:val="19"/>
                <w:szCs w:val="19"/>
              </w:rPr>
              <w:t>Pozew o zapłatę kwoty 500 zł z </w:t>
            </w:r>
            <w:r w:rsidR="00492FE4">
              <w:rPr>
                <w:rFonts w:cs="Calibri Light"/>
                <w:sz w:val="19"/>
                <w:szCs w:val="19"/>
              </w:rPr>
              <w:t>odsetkami ustawowymi od dnia 13.03.2020 r. tytułem częściowego odszkodowania w związku z utratą przez powoda części środków zg</w:t>
            </w:r>
            <w:r>
              <w:rPr>
                <w:rFonts w:cs="Calibri Light"/>
                <w:sz w:val="19"/>
                <w:szCs w:val="19"/>
              </w:rPr>
              <w:t>romadzonych na rachunku w PBS w </w:t>
            </w:r>
            <w:r w:rsidR="00492FE4">
              <w:rPr>
                <w:rFonts w:cs="Calibri Light"/>
                <w:sz w:val="19"/>
                <w:szCs w:val="19"/>
              </w:rPr>
              <w:t>Sanoku w wyniku decyzji Funduszu o wszczęciu przymusowej restrukturyzacji wobec PBS w Sanoku.</w:t>
            </w:r>
          </w:p>
          <w:p w:rsidR="00492FE4" w:rsidRDefault="00492FE4" w:rsidP="00492FE4">
            <w:pPr>
              <w:spacing w:after="0"/>
              <w:ind w:firstLine="0"/>
              <w:jc w:val="left"/>
              <w:rPr>
                <w:rFonts w:cs="Calibri Light"/>
                <w:sz w:val="19"/>
                <w:szCs w:val="19"/>
              </w:rPr>
            </w:pPr>
          </w:p>
          <w:p w:rsidR="00492FE4" w:rsidRDefault="00492FE4" w:rsidP="00492FE4">
            <w:pPr>
              <w:spacing w:after="0"/>
              <w:ind w:firstLine="0"/>
              <w:jc w:val="left"/>
              <w:rPr>
                <w:rFonts w:cs="Calibri Light"/>
                <w:sz w:val="19"/>
                <w:szCs w:val="19"/>
              </w:rPr>
            </w:pPr>
            <w:r>
              <w:rPr>
                <w:rFonts w:cs="Calibri Light"/>
                <w:sz w:val="19"/>
                <w:szCs w:val="19"/>
              </w:rPr>
              <w:t>Nakaz zapłaty z 9.08.2021 r. wydany p</w:t>
            </w:r>
            <w:r w:rsidR="00C242CB">
              <w:rPr>
                <w:rFonts w:cs="Calibri Light"/>
                <w:sz w:val="19"/>
                <w:szCs w:val="19"/>
              </w:rPr>
              <w:t>rzez Sąd Rejonowy w Rzeszowie w </w:t>
            </w:r>
            <w:r>
              <w:rPr>
                <w:rFonts w:cs="Calibri Light"/>
                <w:sz w:val="19"/>
                <w:szCs w:val="19"/>
              </w:rPr>
              <w:t>postępowaniu upominawczym dot. zapłaty przez Fundusz na rzecz powoda kwoty 500 zł z odsetkami ustawowymi od dnia 13.03.2020 r. oraz kosztami postępowania.</w:t>
            </w:r>
          </w:p>
          <w:p w:rsidR="00492FE4" w:rsidRPr="00C242CB" w:rsidRDefault="00492FE4" w:rsidP="00C242CB">
            <w:pPr>
              <w:spacing w:after="0"/>
              <w:ind w:firstLine="0"/>
              <w:jc w:val="left"/>
              <w:rPr>
                <w:rFonts w:cs="Calibri Light"/>
                <w:sz w:val="19"/>
                <w:szCs w:val="19"/>
              </w:rPr>
            </w:pPr>
            <w:r w:rsidRPr="005A0F66">
              <w:rPr>
                <w:rFonts w:cs="Calibri Light"/>
                <w:sz w:val="19"/>
                <w:szCs w:val="19"/>
              </w:rPr>
              <w:t>3.11.2021 r. Fundusz złożył sprze</w:t>
            </w:r>
            <w:r w:rsidR="00C242CB">
              <w:rPr>
                <w:rFonts w:cs="Calibri Light"/>
                <w:sz w:val="19"/>
                <w:szCs w:val="19"/>
              </w:rPr>
              <w:t>ciw od nakazu zapłaty wnosząc o </w:t>
            </w:r>
            <w:r w:rsidRPr="005A0F66">
              <w:rPr>
                <w:rFonts w:cs="Calibri Light"/>
                <w:sz w:val="19"/>
                <w:szCs w:val="19"/>
              </w:rPr>
              <w:t>oddalenie powództwa z powodu braku legitymacji biernej po stronie Funduszu, ewentualnie, w przypadku uznania, iż istnieje legitymacja bierna Fun</w:t>
            </w:r>
            <w:r w:rsidR="00C242CB">
              <w:rPr>
                <w:rFonts w:cs="Calibri Light"/>
                <w:sz w:val="19"/>
                <w:szCs w:val="19"/>
              </w:rPr>
              <w:t>duszu - o oddalenie powództwa z </w:t>
            </w:r>
            <w:r w:rsidRPr="005A0F66">
              <w:rPr>
                <w:rFonts w:cs="Calibri Light"/>
                <w:sz w:val="19"/>
                <w:szCs w:val="19"/>
              </w:rPr>
              <w:t>uwagi na brak zasadności roszczenia o odszkodowanie.</w:t>
            </w:r>
          </w:p>
        </w:tc>
        <w:tc>
          <w:tcPr>
            <w:tcW w:w="1701" w:type="dxa"/>
          </w:tcPr>
          <w:p w:rsidR="00492FE4" w:rsidRPr="00C41AB2" w:rsidRDefault="00492FE4" w:rsidP="00492FE4">
            <w:pPr>
              <w:spacing w:after="0"/>
              <w:ind w:firstLine="0"/>
              <w:jc w:val="left"/>
              <w:rPr>
                <w:rFonts w:cs="Calibri Light"/>
                <w:sz w:val="19"/>
                <w:szCs w:val="19"/>
              </w:rPr>
            </w:pPr>
            <w:r w:rsidRPr="005A0F66">
              <w:rPr>
                <w:rFonts w:cs="Calibri Light"/>
                <w:sz w:val="19"/>
                <w:szCs w:val="19"/>
              </w:rPr>
              <w:t xml:space="preserve">brak </w:t>
            </w:r>
            <w:r w:rsidR="009B5A5F">
              <w:rPr>
                <w:rFonts w:cs="Calibri Light"/>
                <w:sz w:val="19"/>
                <w:szCs w:val="19"/>
              </w:rPr>
              <w:t>zdarzeń w </w:t>
            </w:r>
            <w:r w:rsidRPr="005A0F66">
              <w:rPr>
                <w:rFonts w:cs="Calibri Light"/>
                <w:sz w:val="19"/>
                <w:szCs w:val="19"/>
              </w:rPr>
              <w:t>okresie sprawozdawczym</w:t>
            </w:r>
          </w:p>
        </w:tc>
      </w:tr>
      <w:tr w:rsidR="00492FE4" w:rsidRPr="00092A7C" w:rsidTr="009B6C52">
        <w:tc>
          <w:tcPr>
            <w:tcW w:w="426" w:type="dxa"/>
          </w:tcPr>
          <w:p w:rsidR="00492FE4" w:rsidRPr="00C41AB2" w:rsidRDefault="00492FE4" w:rsidP="00492FE4">
            <w:pPr>
              <w:spacing w:after="0"/>
              <w:ind w:firstLine="0"/>
              <w:rPr>
                <w:rFonts w:cs="Calibri Light"/>
                <w:sz w:val="19"/>
                <w:szCs w:val="19"/>
              </w:rPr>
            </w:pPr>
            <w:r>
              <w:rPr>
                <w:rFonts w:cs="Calibri Light"/>
                <w:sz w:val="19"/>
                <w:szCs w:val="19"/>
              </w:rPr>
              <w:t>5</w:t>
            </w:r>
            <w:r w:rsidRPr="00C41AB2">
              <w:rPr>
                <w:rFonts w:cs="Calibri Light"/>
                <w:sz w:val="19"/>
                <w:szCs w:val="19"/>
              </w:rPr>
              <w:t>.</w:t>
            </w:r>
          </w:p>
        </w:tc>
        <w:tc>
          <w:tcPr>
            <w:tcW w:w="1417" w:type="dxa"/>
          </w:tcPr>
          <w:p w:rsidR="00492FE4" w:rsidRPr="00C41AB2" w:rsidRDefault="00492FE4" w:rsidP="00492FE4">
            <w:pPr>
              <w:spacing w:after="0"/>
              <w:ind w:firstLine="0"/>
              <w:rPr>
                <w:rFonts w:cs="Calibri Light"/>
                <w:sz w:val="19"/>
                <w:szCs w:val="19"/>
              </w:rPr>
            </w:pPr>
            <w:r>
              <w:rPr>
                <w:rFonts w:cs="Calibri Light"/>
                <w:sz w:val="19"/>
                <w:szCs w:val="19"/>
              </w:rPr>
              <w:t>stowarzyszenie</w:t>
            </w:r>
          </w:p>
        </w:tc>
        <w:tc>
          <w:tcPr>
            <w:tcW w:w="1276" w:type="dxa"/>
          </w:tcPr>
          <w:p w:rsidR="00492FE4" w:rsidRPr="00C41AB2" w:rsidRDefault="00492FE4" w:rsidP="00492FE4">
            <w:pPr>
              <w:spacing w:after="0"/>
              <w:ind w:firstLine="0"/>
              <w:jc w:val="left"/>
              <w:rPr>
                <w:rFonts w:cs="Calibri Light"/>
                <w:sz w:val="19"/>
                <w:szCs w:val="19"/>
              </w:rPr>
            </w:pPr>
            <w:r w:rsidRPr="00C41AB2">
              <w:rPr>
                <w:rFonts w:cs="Calibri Light"/>
                <w:sz w:val="19"/>
                <w:szCs w:val="19"/>
              </w:rPr>
              <w:t>Bankowy Fundusz Gwarancyjny</w:t>
            </w:r>
          </w:p>
        </w:tc>
        <w:tc>
          <w:tcPr>
            <w:tcW w:w="1418" w:type="dxa"/>
          </w:tcPr>
          <w:p w:rsidR="00492FE4" w:rsidRPr="00C41AB2" w:rsidRDefault="00492FE4" w:rsidP="00492FE4">
            <w:pPr>
              <w:spacing w:after="0"/>
              <w:ind w:firstLine="0"/>
              <w:jc w:val="center"/>
              <w:rPr>
                <w:rFonts w:cs="Calibri Light"/>
                <w:sz w:val="19"/>
                <w:szCs w:val="19"/>
              </w:rPr>
            </w:pPr>
            <w:r>
              <w:rPr>
                <w:rFonts w:cs="Calibri Light"/>
                <w:sz w:val="19"/>
                <w:szCs w:val="19"/>
              </w:rPr>
              <w:t>9.12.2021 r.</w:t>
            </w:r>
          </w:p>
        </w:tc>
        <w:tc>
          <w:tcPr>
            <w:tcW w:w="3118" w:type="dxa"/>
          </w:tcPr>
          <w:p w:rsidR="00492FE4" w:rsidRDefault="00492FE4" w:rsidP="00492FE4">
            <w:pPr>
              <w:spacing w:after="0"/>
              <w:ind w:firstLine="0"/>
              <w:jc w:val="left"/>
              <w:rPr>
                <w:rFonts w:cs="Calibri Light"/>
                <w:sz w:val="19"/>
                <w:szCs w:val="19"/>
              </w:rPr>
            </w:pPr>
            <w:r>
              <w:rPr>
                <w:rFonts w:cs="Calibri Light"/>
                <w:sz w:val="19"/>
                <w:szCs w:val="19"/>
              </w:rPr>
              <w:t>Pozew o zapłatę kwoty 47</w:t>
            </w:r>
            <w:r w:rsidR="00C242CB">
              <w:rPr>
                <w:rFonts w:cs="Calibri Light"/>
                <w:sz w:val="19"/>
                <w:szCs w:val="19"/>
              </w:rPr>
              <w:t xml:space="preserve"> </w:t>
            </w:r>
            <w:r>
              <w:rPr>
                <w:rFonts w:cs="Calibri Light"/>
                <w:sz w:val="19"/>
                <w:szCs w:val="19"/>
              </w:rPr>
              <w:t>989,52 zł  ty</w:t>
            </w:r>
            <w:r w:rsidR="00C242CB">
              <w:rPr>
                <w:rFonts w:cs="Calibri Light"/>
                <w:sz w:val="19"/>
                <w:szCs w:val="19"/>
              </w:rPr>
              <w:t>tułem odszkodowania w związku z </w:t>
            </w:r>
            <w:r>
              <w:rPr>
                <w:rFonts w:cs="Calibri Light"/>
                <w:sz w:val="19"/>
                <w:szCs w:val="19"/>
              </w:rPr>
              <w:t>utratą przez powoda części środków zgromadzonych na rachun</w:t>
            </w:r>
            <w:r w:rsidR="00C242CB">
              <w:rPr>
                <w:rFonts w:cs="Calibri Light"/>
                <w:sz w:val="19"/>
                <w:szCs w:val="19"/>
              </w:rPr>
              <w:t>ku w PBS w </w:t>
            </w:r>
            <w:r>
              <w:rPr>
                <w:rFonts w:cs="Calibri Light"/>
                <w:sz w:val="19"/>
                <w:szCs w:val="19"/>
              </w:rPr>
              <w:t>Sanoku w wyniku decyzji Funduszu o wszczęciu przymusowej restrukturyzacji wobec PBS w Sanoku.</w:t>
            </w:r>
          </w:p>
          <w:p w:rsidR="00492FE4" w:rsidRPr="00C242CB" w:rsidRDefault="00492FE4" w:rsidP="00492FE4">
            <w:pPr>
              <w:pStyle w:val="Bezodstpw"/>
              <w:rPr>
                <w:rFonts w:ascii="Calibri Light" w:eastAsia="Times New Roman" w:hAnsi="Calibri Light" w:cs="Calibri Light"/>
                <w:sz w:val="19"/>
                <w:szCs w:val="19"/>
              </w:rPr>
            </w:pPr>
            <w:r w:rsidRPr="005A0F66">
              <w:rPr>
                <w:rFonts w:ascii="Calibri Light" w:eastAsia="Times New Roman" w:hAnsi="Calibri Light" w:cs="Calibri Light"/>
                <w:sz w:val="19"/>
                <w:szCs w:val="19"/>
              </w:rPr>
              <w:t>30.12.2021 r. Fundusz złoż</w:t>
            </w:r>
            <w:r w:rsidR="00C242CB">
              <w:rPr>
                <w:rFonts w:ascii="Calibri Light" w:eastAsia="Times New Roman" w:hAnsi="Calibri Light" w:cs="Calibri Light"/>
                <w:sz w:val="19"/>
                <w:szCs w:val="19"/>
              </w:rPr>
              <w:t>ył odpowiedź na pozew wnosząc o </w:t>
            </w:r>
            <w:r w:rsidRPr="005A0F66">
              <w:rPr>
                <w:rFonts w:ascii="Calibri Light" w:eastAsia="Times New Roman" w:hAnsi="Calibri Light" w:cs="Calibri Light"/>
                <w:sz w:val="19"/>
                <w:szCs w:val="19"/>
              </w:rPr>
              <w:t>oddalenie powództwa z powodu braku legitymacji biernej po stronie Funduszu, ewentualnie, w przypadku uznania, iż istnieje legitymacja bierna Fun</w:t>
            </w:r>
            <w:r w:rsidR="00C242CB">
              <w:rPr>
                <w:rFonts w:ascii="Calibri Light" w:eastAsia="Times New Roman" w:hAnsi="Calibri Light" w:cs="Calibri Light"/>
                <w:sz w:val="19"/>
                <w:szCs w:val="19"/>
              </w:rPr>
              <w:t>duszu – o oddalenie powództwa z </w:t>
            </w:r>
            <w:r w:rsidRPr="005A0F66">
              <w:rPr>
                <w:rFonts w:ascii="Calibri Light" w:eastAsia="Times New Roman" w:hAnsi="Calibri Light" w:cs="Calibri Light"/>
                <w:sz w:val="19"/>
                <w:szCs w:val="19"/>
              </w:rPr>
              <w:t>uwagi na brak zasadności roszczenia o odszkodowanie.</w:t>
            </w:r>
          </w:p>
        </w:tc>
        <w:tc>
          <w:tcPr>
            <w:tcW w:w="1701" w:type="dxa"/>
          </w:tcPr>
          <w:p w:rsidR="00492FE4" w:rsidRDefault="00492FE4" w:rsidP="00492FE4">
            <w:pPr>
              <w:spacing w:after="0"/>
              <w:ind w:firstLine="0"/>
              <w:jc w:val="left"/>
              <w:rPr>
                <w:rFonts w:cs="Calibri Light"/>
                <w:sz w:val="19"/>
                <w:szCs w:val="19"/>
              </w:rPr>
            </w:pPr>
            <w:r>
              <w:rPr>
                <w:rFonts w:cs="Calibri Light"/>
                <w:sz w:val="19"/>
                <w:szCs w:val="19"/>
              </w:rPr>
              <w:t>27.07.2022 r. odbyła się pierwsza rozprawa, podczas której powód złożył replikę na odpowiedź Funduszu na pozew. Termin kolejnej rozprawy został wyznaczony na 11.10.2022 r.</w:t>
            </w:r>
          </w:p>
          <w:p w:rsidR="00492FE4" w:rsidRPr="00C41AB2" w:rsidRDefault="00492FE4" w:rsidP="00492FE4">
            <w:pPr>
              <w:spacing w:after="0"/>
              <w:ind w:firstLine="0"/>
              <w:jc w:val="left"/>
              <w:rPr>
                <w:rFonts w:cs="Calibri Light"/>
                <w:sz w:val="19"/>
                <w:szCs w:val="19"/>
              </w:rPr>
            </w:pPr>
          </w:p>
        </w:tc>
      </w:tr>
      <w:tr w:rsidR="00492FE4" w:rsidRPr="00092A7C" w:rsidTr="009B6C52">
        <w:tc>
          <w:tcPr>
            <w:tcW w:w="426" w:type="dxa"/>
          </w:tcPr>
          <w:p w:rsidR="00492FE4" w:rsidRPr="00C41AB2" w:rsidRDefault="00492FE4" w:rsidP="00492FE4">
            <w:pPr>
              <w:spacing w:after="0"/>
              <w:ind w:firstLine="0"/>
              <w:rPr>
                <w:rFonts w:cs="Calibri Light"/>
                <w:sz w:val="19"/>
                <w:szCs w:val="19"/>
              </w:rPr>
            </w:pPr>
            <w:r>
              <w:rPr>
                <w:rFonts w:cs="Calibri Light"/>
                <w:sz w:val="19"/>
                <w:szCs w:val="19"/>
              </w:rPr>
              <w:t>6</w:t>
            </w:r>
            <w:r w:rsidRPr="00C41AB2">
              <w:rPr>
                <w:rFonts w:cs="Calibri Light"/>
                <w:sz w:val="19"/>
                <w:szCs w:val="19"/>
              </w:rPr>
              <w:t>.</w:t>
            </w:r>
          </w:p>
        </w:tc>
        <w:tc>
          <w:tcPr>
            <w:tcW w:w="1417" w:type="dxa"/>
          </w:tcPr>
          <w:p w:rsidR="00492FE4" w:rsidRPr="00C41AB2" w:rsidRDefault="00492FE4" w:rsidP="00492FE4">
            <w:pPr>
              <w:spacing w:after="0"/>
              <w:ind w:firstLine="0"/>
              <w:rPr>
                <w:rFonts w:cs="Calibri Light"/>
                <w:sz w:val="19"/>
                <w:szCs w:val="19"/>
              </w:rPr>
            </w:pPr>
            <w:r>
              <w:rPr>
                <w:rFonts w:cs="Calibri Light"/>
                <w:sz w:val="19"/>
                <w:szCs w:val="19"/>
              </w:rPr>
              <w:t>izba gospodarcza</w:t>
            </w:r>
          </w:p>
        </w:tc>
        <w:tc>
          <w:tcPr>
            <w:tcW w:w="1276" w:type="dxa"/>
          </w:tcPr>
          <w:p w:rsidR="00492FE4" w:rsidRPr="00C41AB2" w:rsidRDefault="00492FE4" w:rsidP="00492FE4">
            <w:pPr>
              <w:spacing w:after="0"/>
              <w:ind w:firstLine="0"/>
              <w:jc w:val="left"/>
              <w:rPr>
                <w:rFonts w:cs="Calibri Light"/>
                <w:sz w:val="19"/>
                <w:szCs w:val="19"/>
              </w:rPr>
            </w:pPr>
            <w:r w:rsidRPr="00C41AB2">
              <w:rPr>
                <w:rFonts w:cs="Calibri Light"/>
                <w:sz w:val="19"/>
                <w:szCs w:val="19"/>
              </w:rPr>
              <w:t>Bankowy Fundusz Gwarancyjny</w:t>
            </w:r>
          </w:p>
        </w:tc>
        <w:tc>
          <w:tcPr>
            <w:tcW w:w="1418" w:type="dxa"/>
          </w:tcPr>
          <w:p w:rsidR="00492FE4" w:rsidRPr="00C41AB2" w:rsidRDefault="00492FE4" w:rsidP="00492FE4">
            <w:pPr>
              <w:spacing w:after="0"/>
              <w:ind w:firstLine="0"/>
              <w:jc w:val="center"/>
              <w:rPr>
                <w:rFonts w:cs="Calibri Light"/>
                <w:sz w:val="19"/>
                <w:szCs w:val="19"/>
              </w:rPr>
            </w:pPr>
            <w:r>
              <w:rPr>
                <w:rFonts w:cs="Calibri Light"/>
                <w:sz w:val="19"/>
                <w:szCs w:val="19"/>
              </w:rPr>
              <w:t>5.08.2022 r.</w:t>
            </w:r>
          </w:p>
        </w:tc>
        <w:tc>
          <w:tcPr>
            <w:tcW w:w="3118" w:type="dxa"/>
          </w:tcPr>
          <w:p w:rsidR="00492FE4" w:rsidRDefault="00492FE4" w:rsidP="00492FE4">
            <w:pPr>
              <w:spacing w:after="0"/>
              <w:ind w:firstLine="0"/>
              <w:jc w:val="left"/>
              <w:rPr>
                <w:rFonts w:cs="Calibri Light"/>
                <w:sz w:val="19"/>
                <w:szCs w:val="19"/>
              </w:rPr>
            </w:pPr>
            <w:r>
              <w:rPr>
                <w:rFonts w:cs="Calibri Light"/>
                <w:sz w:val="19"/>
                <w:szCs w:val="19"/>
              </w:rPr>
              <w:t>Pozew o zapłatę kwoty 441</w:t>
            </w:r>
            <w:r w:rsidR="00C242CB">
              <w:rPr>
                <w:rFonts w:cs="Calibri Light"/>
                <w:sz w:val="19"/>
                <w:szCs w:val="19"/>
              </w:rPr>
              <w:t xml:space="preserve"> </w:t>
            </w:r>
            <w:r>
              <w:rPr>
                <w:rFonts w:cs="Calibri Light"/>
                <w:sz w:val="19"/>
                <w:szCs w:val="19"/>
              </w:rPr>
              <w:t>264,22 zł w związku z utratą przez powoda części środków zgromadzonych na rachunku w PBS w Sanoku w wyniku decyzji Funduszu o wszczęciu przymusowej restrukturyzacji wobec PBS w Sanoku.</w:t>
            </w:r>
          </w:p>
          <w:p w:rsidR="00492FE4" w:rsidRPr="005A0F66" w:rsidRDefault="00492FE4" w:rsidP="00492FE4">
            <w:pPr>
              <w:pStyle w:val="Bezodstpw"/>
              <w:rPr>
                <w:rFonts w:ascii="Calibri Light" w:eastAsia="Times New Roman" w:hAnsi="Calibri Light" w:cs="Calibri Light"/>
                <w:sz w:val="19"/>
                <w:szCs w:val="19"/>
              </w:rPr>
            </w:pPr>
          </w:p>
          <w:p w:rsidR="00492FE4" w:rsidRPr="00C41AB2" w:rsidRDefault="00492FE4" w:rsidP="00492FE4">
            <w:pPr>
              <w:pStyle w:val="Bezodstpw"/>
              <w:rPr>
                <w:rFonts w:ascii="Times New Roman" w:eastAsia="Times New Roman" w:hAnsi="Times New Roman"/>
                <w:sz w:val="19"/>
                <w:szCs w:val="19"/>
              </w:rPr>
            </w:pPr>
          </w:p>
        </w:tc>
        <w:tc>
          <w:tcPr>
            <w:tcW w:w="1701" w:type="dxa"/>
          </w:tcPr>
          <w:p w:rsidR="00492FE4" w:rsidRPr="00C242CB" w:rsidRDefault="00492FE4" w:rsidP="00492FE4">
            <w:pPr>
              <w:pStyle w:val="Bezodstpw"/>
              <w:rPr>
                <w:rFonts w:ascii="Calibri Light" w:eastAsia="Times New Roman" w:hAnsi="Calibri Light" w:cs="Calibri Light"/>
                <w:sz w:val="19"/>
                <w:szCs w:val="19"/>
              </w:rPr>
            </w:pPr>
            <w:r>
              <w:rPr>
                <w:rFonts w:ascii="Calibri Light" w:eastAsia="Times New Roman" w:hAnsi="Calibri Light" w:cs="Calibri Light"/>
                <w:sz w:val="19"/>
                <w:szCs w:val="19"/>
              </w:rPr>
              <w:t>13.09.2022</w:t>
            </w:r>
            <w:r w:rsidRPr="005A0F66">
              <w:rPr>
                <w:rFonts w:ascii="Calibri Light" w:eastAsia="Times New Roman" w:hAnsi="Calibri Light" w:cs="Calibri Light"/>
                <w:sz w:val="19"/>
                <w:szCs w:val="19"/>
              </w:rPr>
              <w:t xml:space="preserve"> r. Fundusz złożył odpowiedź na pozew </w:t>
            </w:r>
            <w:r w:rsidR="00C242CB">
              <w:rPr>
                <w:rFonts w:ascii="Calibri Light" w:eastAsia="Times New Roman" w:hAnsi="Calibri Light" w:cs="Calibri Light"/>
                <w:sz w:val="19"/>
                <w:szCs w:val="19"/>
              </w:rPr>
              <w:t>wnosząc o oddalenie powództwa z </w:t>
            </w:r>
            <w:r w:rsidRPr="005A0F66">
              <w:rPr>
                <w:rFonts w:ascii="Calibri Light" w:eastAsia="Times New Roman" w:hAnsi="Calibri Light" w:cs="Calibri Light"/>
                <w:sz w:val="19"/>
                <w:szCs w:val="19"/>
              </w:rPr>
              <w:t>powodu braku legitymacji biernej po s</w:t>
            </w:r>
            <w:r w:rsidR="00C242CB">
              <w:rPr>
                <w:rFonts w:ascii="Calibri Light" w:eastAsia="Times New Roman" w:hAnsi="Calibri Light" w:cs="Calibri Light"/>
                <w:sz w:val="19"/>
                <w:szCs w:val="19"/>
              </w:rPr>
              <w:t>tronie Funduszu, ewentualnie, w </w:t>
            </w:r>
            <w:r w:rsidRPr="005A0F66">
              <w:rPr>
                <w:rFonts w:ascii="Calibri Light" w:eastAsia="Times New Roman" w:hAnsi="Calibri Light" w:cs="Calibri Light"/>
                <w:sz w:val="19"/>
                <w:szCs w:val="19"/>
              </w:rPr>
              <w:t>przypadku uznania, iż istnieje le</w:t>
            </w:r>
            <w:r w:rsidR="00C242CB">
              <w:rPr>
                <w:rFonts w:ascii="Calibri Light" w:eastAsia="Times New Roman" w:hAnsi="Calibri Light" w:cs="Calibri Light"/>
                <w:sz w:val="19"/>
                <w:szCs w:val="19"/>
              </w:rPr>
              <w:t>gitymacja bierna Funduszu – o oddalenie powództwa z </w:t>
            </w:r>
            <w:r w:rsidRPr="005A0F66">
              <w:rPr>
                <w:rFonts w:ascii="Calibri Light" w:eastAsia="Times New Roman" w:hAnsi="Calibri Light" w:cs="Calibri Light"/>
                <w:sz w:val="19"/>
                <w:szCs w:val="19"/>
              </w:rPr>
              <w:t>uwagi na brak zasadności roszczenia</w:t>
            </w:r>
            <w:r w:rsidR="00C242CB">
              <w:rPr>
                <w:rFonts w:ascii="Calibri Light" w:eastAsia="Times New Roman" w:hAnsi="Calibri Light" w:cs="Calibri Light"/>
                <w:sz w:val="19"/>
                <w:szCs w:val="19"/>
              </w:rPr>
              <w:t xml:space="preserve"> powoda.</w:t>
            </w:r>
          </w:p>
        </w:tc>
      </w:tr>
    </w:tbl>
    <w:p w:rsidR="00492FE4" w:rsidRPr="00D50AEF" w:rsidRDefault="00492FE4" w:rsidP="00864B74">
      <w:pPr>
        <w:spacing w:before="200" w:after="120"/>
        <w:rPr>
          <w:rFonts w:eastAsia="Times New Roman" w:cs="Calibri Light"/>
          <w:bCs/>
          <w:i/>
          <w:szCs w:val="28"/>
          <w:u w:val="single"/>
        </w:rPr>
      </w:pPr>
      <w:r w:rsidRPr="00D50AEF">
        <w:rPr>
          <w:rFonts w:eastAsia="Times New Roman" w:cs="Calibri Light"/>
          <w:bCs/>
          <w:i/>
          <w:szCs w:val="28"/>
          <w:u w:val="single"/>
        </w:rPr>
        <w:t>Inne prace</w:t>
      </w:r>
    </w:p>
    <w:p w:rsidR="00F76AF7" w:rsidRDefault="00492FE4" w:rsidP="009B6C52">
      <w:pPr>
        <w:spacing w:after="120"/>
        <w:rPr>
          <w:rFonts w:cs="Calibri Light"/>
          <w:shd w:val="clear" w:color="auto" w:fill="FFFFFF"/>
        </w:rPr>
      </w:pPr>
      <w:r w:rsidRPr="00E94A17">
        <w:rPr>
          <w:rFonts w:cs="Calibri Light"/>
          <w:shd w:val="clear" w:color="auto" w:fill="FFFFFF"/>
        </w:rPr>
        <w:t xml:space="preserve">Fundusz </w:t>
      </w:r>
      <w:r>
        <w:rPr>
          <w:rFonts w:cs="Calibri Light"/>
          <w:shd w:val="clear" w:color="auto" w:fill="FFFFFF"/>
        </w:rPr>
        <w:t xml:space="preserve">współpracował z </w:t>
      </w:r>
      <w:r w:rsidRPr="00E94A17">
        <w:rPr>
          <w:rFonts w:cs="Calibri Light"/>
          <w:shd w:val="clear" w:color="auto" w:fill="FFFFFF"/>
        </w:rPr>
        <w:t>Prokuratori</w:t>
      </w:r>
      <w:r>
        <w:rPr>
          <w:rFonts w:cs="Calibri Light"/>
          <w:shd w:val="clear" w:color="auto" w:fill="FFFFFF"/>
        </w:rPr>
        <w:t>ą</w:t>
      </w:r>
      <w:r w:rsidRPr="00E94A17">
        <w:rPr>
          <w:rFonts w:cs="Calibri Light"/>
          <w:shd w:val="clear" w:color="auto" w:fill="FFFFFF"/>
        </w:rPr>
        <w:t xml:space="preserve"> Generaln</w:t>
      </w:r>
      <w:r>
        <w:rPr>
          <w:rFonts w:cs="Calibri Light"/>
          <w:shd w:val="clear" w:color="auto" w:fill="FFFFFF"/>
        </w:rPr>
        <w:t>ą</w:t>
      </w:r>
      <w:r w:rsidRPr="00E94A17">
        <w:rPr>
          <w:rFonts w:cs="Calibri Light"/>
          <w:shd w:val="clear" w:color="auto" w:fill="FFFFFF"/>
        </w:rPr>
        <w:t xml:space="preserve"> RP</w:t>
      </w:r>
      <w:r>
        <w:rPr>
          <w:rFonts w:cs="Calibri Light"/>
          <w:shd w:val="clear" w:color="auto" w:fill="FFFFFF"/>
        </w:rPr>
        <w:t xml:space="preserve"> w zakresie przygotowania zeznań świadków w postępowaniu dotyczącym </w:t>
      </w:r>
      <w:r w:rsidRPr="00E94A17">
        <w:rPr>
          <w:rFonts w:cs="Calibri Light"/>
          <w:shd w:val="clear" w:color="auto" w:fill="FFFFFF"/>
        </w:rPr>
        <w:t>pozwu skierowanego przeciwko RP w ramach postępowania arbitrażowego z wezwania spółki LC Corp B.V., tocząc</w:t>
      </w:r>
      <w:r>
        <w:rPr>
          <w:rFonts w:cs="Calibri Light"/>
          <w:shd w:val="clear" w:color="auto" w:fill="FFFFFF"/>
        </w:rPr>
        <w:t>ym</w:t>
      </w:r>
      <w:r w:rsidRPr="00E94A17">
        <w:rPr>
          <w:rFonts w:cs="Calibri Light"/>
          <w:shd w:val="clear" w:color="auto" w:fill="FFFFFF"/>
        </w:rPr>
        <w:t xml:space="preserve"> się na podstawie umowy o popieraniu i wzajemnej ochronie inwestycji między Rzecząpospolitą Polską a Królestwem Holandii</w:t>
      </w:r>
      <w:r w:rsidR="009B6C52">
        <w:rPr>
          <w:rFonts w:cs="Calibri Light"/>
          <w:shd w:val="clear" w:color="auto" w:fill="FFFFFF"/>
        </w:rPr>
        <w:t>.</w:t>
      </w:r>
    </w:p>
    <w:p w:rsidR="00864B74" w:rsidRPr="00D50AEF" w:rsidRDefault="00864B74" w:rsidP="00D50AEF">
      <w:pPr>
        <w:spacing w:before="200" w:after="120"/>
        <w:rPr>
          <w:rFonts w:eastAsia="Times New Roman" w:cs="Calibri Light"/>
          <w:bCs/>
          <w:i/>
          <w:szCs w:val="28"/>
          <w:u w:val="single"/>
        </w:rPr>
      </w:pPr>
      <w:r w:rsidRPr="00D50AEF">
        <w:rPr>
          <w:rFonts w:eastAsia="Times New Roman" w:cs="Calibri Light"/>
          <w:bCs/>
          <w:i/>
          <w:szCs w:val="28"/>
          <w:u w:val="single"/>
        </w:rPr>
        <w:t>Informacja w sprawie postępowania dot. stosowania art. 176 § 2 k.p.c. (zawieszenie postępowań, których stroną jest podmiot w restrukturyzacji, na wniosek Bankowego Funduszu Gwarancyjnego)</w:t>
      </w:r>
    </w:p>
    <w:p w:rsidR="00864B74" w:rsidRPr="00BE7350" w:rsidRDefault="00864B74" w:rsidP="00BE7350">
      <w:pPr>
        <w:spacing w:after="120"/>
        <w:rPr>
          <w:rFonts w:cs="Calibri Light"/>
          <w:i/>
          <w:shd w:val="clear" w:color="auto" w:fill="FFFFFF"/>
        </w:rPr>
      </w:pPr>
      <w:r w:rsidRPr="00BE7350">
        <w:rPr>
          <w:rFonts w:cs="Calibri Light"/>
          <w:shd w:val="clear" w:color="auto" w:fill="FFFFFF"/>
        </w:rPr>
        <w:t>W jednym z postępowań sądowych, w których Fundusz złożył wniosek o zawieszenie postępowania na podstawie art. 176 § 2 k.p.c., Sąd odwoławczy rozpatrujący zażalenie strony powodowej na postanowienie w sprawie zawieszenia postępowania, powziął wątpliwość co do statusu Funduszu w prowadzonym postępowaniu. W związku z powyższym zwrócił się do Sądu Najwyższego</w:t>
      </w:r>
      <w:r w:rsidR="00BE7350">
        <w:rPr>
          <w:rFonts w:cs="Calibri Light"/>
          <w:shd w:val="clear" w:color="auto" w:fill="FFFFFF"/>
        </w:rPr>
        <w:t xml:space="preserve"> (SN)</w:t>
      </w:r>
      <w:r w:rsidRPr="00BE7350">
        <w:rPr>
          <w:rFonts w:cs="Calibri Light"/>
          <w:shd w:val="clear" w:color="auto" w:fill="FFFFFF"/>
        </w:rPr>
        <w:t xml:space="preserve"> z tzw. pytaniem prawnym w sprawie rozstrzygnięcia zagadnienia prawnego budzącego poważne wątpliwości. Pytanie zostało sformułowane następująco: </w:t>
      </w:r>
      <w:r w:rsidR="00BE7350">
        <w:rPr>
          <w:rFonts w:cs="Calibri Light"/>
          <w:shd w:val="clear" w:color="auto" w:fill="FFFFFF"/>
        </w:rPr>
        <w:t>„</w:t>
      </w:r>
      <w:r w:rsidRPr="00BE7350">
        <w:rPr>
          <w:rFonts w:cs="Calibri Light"/>
          <w:i/>
          <w:shd w:val="clear" w:color="auto" w:fill="FFFFFF"/>
        </w:rPr>
        <w:t>Czy Bankowy Fundusz Gwarancyjny, na którego wniosek postępowanie w sprawie zostało zawieszone na podstawie art. 176 § 2 k.p.c., jest stroną postępowania incydentalnego wszczętego wskutek wniosku złożonego przez stronę powodową o podjęcie tego postępowania?</w:t>
      </w:r>
      <w:r w:rsidR="00BE7350">
        <w:rPr>
          <w:rFonts w:cs="Calibri Light"/>
          <w:i/>
          <w:shd w:val="clear" w:color="auto" w:fill="FFFFFF"/>
        </w:rPr>
        <w:t>”</w:t>
      </w:r>
      <w:r w:rsidRPr="00BE7350">
        <w:rPr>
          <w:rFonts w:cs="Calibri Light"/>
          <w:i/>
          <w:shd w:val="clear" w:color="auto" w:fill="FFFFFF"/>
        </w:rPr>
        <w:t xml:space="preserve">. </w:t>
      </w:r>
    </w:p>
    <w:p w:rsidR="00864B74" w:rsidRPr="00BE7350" w:rsidRDefault="00864B74" w:rsidP="00BE7350">
      <w:pPr>
        <w:spacing w:after="120"/>
        <w:rPr>
          <w:rFonts w:cs="Calibri Light"/>
          <w:shd w:val="clear" w:color="auto" w:fill="FFFFFF"/>
        </w:rPr>
      </w:pPr>
      <w:r w:rsidRPr="00BE7350">
        <w:rPr>
          <w:rFonts w:cs="Calibri Light"/>
          <w:shd w:val="clear" w:color="auto" w:fill="FFFFFF"/>
        </w:rPr>
        <w:t>Sprawa została zarejestrowana przez SN. Pisemne stanowisko w sprawie złożył Prokurator Generalny wnosząc o odmowę podjęcia uchwały i wskazując, że nie uzasadniono wystarczająco potrzeby jej wydania, na wypadek zaś, gdyby SN zdecydował się wydać uchwałę, wskazano, że Fundusz nie powinien być uznany za stronę postępowania incydentalnego.</w:t>
      </w:r>
    </w:p>
    <w:p w:rsidR="00864B74" w:rsidRPr="00BE7350" w:rsidRDefault="00864B74" w:rsidP="00BE7350">
      <w:pPr>
        <w:spacing w:after="120"/>
        <w:rPr>
          <w:rFonts w:cs="Calibri Light"/>
          <w:shd w:val="clear" w:color="auto" w:fill="FFFFFF"/>
        </w:rPr>
      </w:pPr>
      <w:r w:rsidRPr="00BE7350">
        <w:rPr>
          <w:rFonts w:cs="Calibri Light"/>
          <w:shd w:val="clear" w:color="auto" w:fill="FFFFFF"/>
        </w:rPr>
        <w:t>17 sierpnia 2022 r. pisemne stanowisko w sprawie złożył Fund</w:t>
      </w:r>
      <w:r w:rsidR="00BE7350" w:rsidRPr="00BE7350">
        <w:rPr>
          <w:rFonts w:cs="Calibri Light"/>
          <w:shd w:val="clear" w:color="auto" w:fill="FFFFFF"/>
        </w:rPr>
        <w:t>usz. W piśmie zawarto wniosek o </w:t>
      </w:r>
      <w:r w:rsidRPr="00BE7350">
        <w:rPr>
          <w:rFonts w:cs="Calibri Light"/>
          <w:shd w:val="clear" w:color="auto" w:fill="FFFFFF"/>
        </w:rPr>
        <w:t>wydanie uchwały, wskazując, że rozstrzygnięcie będzie miało znaczenie dla praktyki Funduszu jako organu resolution, oraz przytoczono obszerną argumentację za traktowaniem Funduszu jako strony postępowania incydentalnego, względnie jako sui generis uczestnika postępowania, który powinien mieć prawo do pełni informacji o tym, czy i które z jego wniosków o zawieszenie zostały prawomocnie uwzględnione. Fundusz powinien być zatem także informowany o wszelkich próbach zmiany tego stanu podejmowanych przez strony, niezależnie od tego, że ustawa nie daje podstaw do takich prób.</w:t>
      </w:r>
    </w:p>
    <w:p w:rsidR="00864B74" w:rsidRDefault="00864B74" w:rsidP="00BE7350">
      <w:pPr>
        <w:spacing w:after="120"/>
        <w:rPr>
          <w:rFonts w:cs="Calibri Light"/>
          <w:shd w:val="clear" w:color="auto" w:fill="FFFFFF"/>
        </w:rPr>
      </w:pPr>
      <w:r w:rsidRPr="00BE7350">
        <w:rPr>
          <w:rFonts w:cs="Calibri Light"/>
          <w:shd w:val="clear" w:color="auto" w:fill="FFFFFF"/>
        </w:rPr>
        <w:t>22 września 2022 r. pełnomocnik Funduszu ustalił telefonicznie w SN, że w sprawie został wyznaczony skład orzekający. Nie przesądza to, że uchwała zostanie wydana. Do chwili obecnej nie został wyznaczony żaden termin posiedzenia.</w:t>
      </w:r>
    </w:p>
    <w:p w:rsidR="00864B74" w:rsidRPr="00D50AEF" w:rsidRDefault="00864B74" w:rsidP="00D50AEF">
      <w:pPr>
        <w:spacing w:before="200" w:after="120"/>
        <w:rPr>
          <w:rFonts w:eastAsia="Times New Roman" w:cs="Calibri Light"/>
          <w:bCs/>
          <w:i/>
          <w:szCs w:val="28"/>
          <w:u w:val="single"/>
        </w:rPr>
      </w:pPr>
      <w:r w:rsidRPr="00D50AEF">
        <w:rPr>
          <w:rFonts w:eastAsia="Times New Roman" w:cs="Calibri Light"/>
          <w:bCs/>
          <w:i/>
          <w:szCs w:val="28"/>
          <w:u w:val="single"/>
        </w:rPr>
        <w:t>Postępowania sądowe w sprawach z zakresu prawa pracy</w:t>
      </w:r>
    </w:p>
    <w:p w:rsidR="00864B74" w:rsidRPr="00D54111" w:rsidRDefault="00864B74" w:rsidP="00864B74">
      <w:pPr>
        <w:pStyle w:val="Default"/>
        <w:spacing w:after="200"/>
        <w:ind w:firstLine="357"/>
        <w:jc w:val="both"/>
        <w:rPr>
          <w:rFonts w:ascii="Calibri Light" w:hAnsi="Calibri Light" w:cs="Calibri Light"/>
          <w:bCs/>
        </w:rPr>
      </w:pPr>
      <w:r w:rsidRPr="00D54111">
        <w:rPr>
          <w:rFonts w:ascii="Calibri Light" w:hAnsi="Calibri Light" w:cs="Calibri Light"/>
          <w:bCs/>
        </w:rPr>
        <w:t>W III kwartale 2022 r. w sprawie z powództwa byłej pracownicy z zakresu prawa pracy Sąd Okręgowy w Warszawie, XXI Wydział Pracy i Ubezpieczeń Społecznych nie był</w:t>
      </w:r>
      <w:r>
        <w:rPr>
          <w:rFonts w:ascii="Calibri Light" w:hAnsi="Calibri Light" w:cs="Calibri Light"/>
          <w:bCs/>
        </w:rPr>
        <w:t>o</w:t>
      </w:r>
      <w:r w:rsidRPr="00D54111">
        <w:rPr>
          <w:rFonts w:ascii="Calibri Light" w:hAnsi="Calibri Light" w:cs="Calibri Light"/>
          <w:bCs/>
        </w:rPr>
        <w:t xml:space="preserve"> dalszych działań. Wyrok oddalający powództwo wydano w II kw</w:t>
      </w:r>
      <w:r>
        <w:rPr>
          <w:rFonts w:ascii="Calibri Light" w:hAnsi="Calibri Light" w:cs="Calibri Light"/>
          <w:bCs/>
        </w:rPr>
        <w:t>artale</w:t>
      </w:r>
      <w:r w:rsidRPr="00D54111">
        <w:rPr>
          <w:rFonts w:ascii="Calibri Light" w:hAnsi="Calibri Light" w:cs="Calibri Light"/>
          <w:bCs/>
        </w:rPr>
        <w:t xml:space="preserve"> 2022 r. Wyrok nadal nie jest prawomocny. Uzasadnienie wyroku jest w przygotowaniu. Sprawie z zakresu prawa pracy, w której Fundusz jest powodem została zawieszona w Sądzie Rejonowym dla Warszawy-Śródmieścia VIII Wydział Pracy i Ubezpieczeń Społecznych w Warszawie.</w:t>
      </w:r>
    </w:p>
    <w:p w:rsidR="00864B74" w:rsidRPr="009B6C52" w:rsidRDefault="00864B74" w:rsidP="009B6C52">
      <w:pPr>
        <w:spacing w:after="120"/>
        <w:rPr>
          <w:rFonts w:cs="Calibri Light"/>
          <w:shd w:val="clear" w:color="auto" w:fill="FFFFFF"/>
        </w:rPr>
      </w:pPr>
    </w:p>
    <w:p w:rsidR="0076523D" w:rsidRPr="00DF679D" w:rsidRDefault="0076523D" w:rsidP="0076523D">
      <w:pPr>
        <w:ind w:firstLine="0"/>
        <w:rPr>
          <w:rFonts w:cs="Calibri Light"/>
        </w:rPr>
      </w:pPr>
    </w:p>
    <w:sectPr w:rsidR="0076523D" w:rsidRPr="00DF679D" w:rsidSect="00860D7B">
      <w:footerReference w:type="default" r:id="rId10"/>
      <w:pgSz w:w="11906" w:h="16838" w:code="9"/>
      <w:pgMar w:top="1418" w:right="1134"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5B" w:rsidRDefault="00D81D5B" w:rsidP="00BE2220">
      <w:r>
        <w:separator/>
      </w:r>
    </w:p>
  </w:endnote>
  <w:endnote w:type="continuationSeparator" w:id="0">
    <w:p w:rsidR="00D81D5B" w:rsidRDefault="00D81D5B" w:rsidP="00BE2220">
      <w:r>
        <w:continuationSeparator/>
      </w:r>
    </w:p>
  </w:endnote>
  <w:endnote w:type="continuationNotice" w:id="1">
    <w:p w:rsidR="00D81D5B" w:rsidRDefault="00D81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D5B" w:rsidRPr="00A24A16" w:rsidRDefault="00D81D5B" w:rsidP="00A24A16">
    <w:pPr>
      <w:pStyle w:val="Stopka"/>
      <w:ind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5B" w:rsidRDefault="00D81D5B" w:rsidP="00BE2220">
      <w:r>
        <w:separator/>
      </w:r>
    </w:p>
  </w:footnote>
  <w:footnote w:type="continuationSeparator" w:id="0">
    <w:p w:rsidR="00D81D5B" w:rsidRDefault="00D81D5B" w:rsidP="00BE2220">
      <w:r>
        <w:continuationSeparator/>
      </w:r>
    </w:p>
  </w:footnote>
  <w:footnote w:type="continuationNotice" w:id="1">
    <w:p w:rsidR="00D81D5B" w:rsidRDefault="00D81D5B"/>
  </w:footnote>
  <w:footnote w:id="2">
    <w:p w:rsidR="00D81D5B" w:rsidRPr="00AC0239" w:rsidRDefault="00D81D5B" w:rsidP="002765AF">
      <w:pPr>
        <w:pStyle w:val="Tekstprzypisudolnego"/>
        <w:rPr>
          <w:rFonts w:cs="Calibri Light"/>
          <w:szCs w:val="18"/>
        </w:rPr>
      </w:pPr>
      <w:r w:rsidRPr="00AC0239">
        <w:rPr>
          <w:rStyle w:val="Odwoanieprzypisudolnego"/>
          <w:rFonts w:cs="Calibri Light"/>
        </w:rPr>
        <w:footnoteRef/>
      </w:r>
      <w:r w:rsidRPr="00AC0239">
        <w:rPr>
          <w:rFonts w:cs="Calibri Light"/>
        </w:rPr>
        <w:t> Deponenci, którzy nie odebrali środków w trakcie wypłat realizowanych za pośrednictwem banków-agentów, mogą składać wnioski o wypłatę bezpośrednio w Funduszu do czasu upływu okresu przedawnienia roszczeń wobec BFG (tj. do końca roku kalendarzowego, w którym upływa 5 lat od dnia spełnienia warunku gwarancji).</w:t>
      </w:r>
    </w:p>
  </w:footnote>
  <w:footnote w:id="3">
    <w:p w:rsidR="00D81D5B" w:rsidRPr="001B69CA" w:rsidRDefault="00D81D5B" w:rsidP="002765AF">
      <w:pPr>
        <w:pStyle w:val="Tekstprzypisudolnego"/>
        <w:rPr>
          <w:rFonts w:cs="Calibri Light"/>
          <w:highlight w:val="yellow"/>
        </w:rPr>
      </w:pPr>
      <w:r w:rsidRPr="00AC0239">
        <w:rPr>
          <w:rStyle w:val="Odwoanieprzypisudolnego"/>
          <w:rFonts w:cs="Calibri Light"/>
        </w:rPr>
        <w:footnoteRef/>
      </w:r>
      <w:r w:rsidRPr="00AC0239">
        <w:rPr>
          <w:rStyle w:val="Odwoanieprzypisudolnego"/>
          <w:rFonts w:cs="Calibri Light"/>
        </w:rPr>
        <w:t xml:space="preserve"> </w:t>
      </w:r>
      <w:r w:rsidRPr="00AC0239">
        <w:rPr>
          <w:rFonts w:cs="Calibri Light"/>
        </w:rPr>
        <w:t>Ustawa o BFG w przypadkach określonych w art. 24 ust. 3 i 4 przewiduje wypłatę środków gwarantowanych w wysokości przekraczającej równowartość w złotych 100 tys. euro (dla podmiotów, dla których spełnienie warunku gwarancji nastąpiło po 8 października 2016 r.). Wypłata środków dokonywana jest na indywidualny wniosek deponenta, skierowany bezpośrednio do Funduszu. Wyższe gwarancje dotyczą np. środków na rachunku pochodzących ze sprzedaży wybranego rodzaju nieruchomości, wypłaty sumy ubezpieczenia lub wypłaty odszkodowania czy zadośćuczynienia.</w:t>
      </w:r>
    </w:p>
  </w:footnote>
  <w:footnote w:id="4">
    <w:p w:rsidR="00D81D5B" w:rsidRPr="00F42810" w:rsidRDefault="00D81D5B" w:rsidP="00F62E47">
      <w:pPr>
        <w:pStyle w:val="Tekstprzypisudolnego"/>
        <w:rPr>
          <w:rFonts w:eastAsia="Times New Roman" w:cs="Calibri Light"/>
          <w:szCs w:val="18"/>
          <w:lang w:eastAsia="pl-PL"/>
        </w:rPr>
      </w:pPr>
      <w:r w:rsidRPr="00F6449B">
        <w:rPr>
          <w:rStyle w:val="Odwoanieprzypisudolnego"/>
          <w:rFonts w:cs="Calibri Light"/>
          <w:szCs w:val="18"/>
        </w:rPr>
        <w:footnoteRef/>
      </w:r>
      <w:r w:rsidRPr="00F6449B">
        <w:rPr>
          <w:rFonts w:cs="Calibri Light"/>
          <w:szCs w:val="18"/>
        </w:rPr>
        <w:t xml:space="preserve"> </w:t>
      </w:r>
      <w:r w:rsidRPr="00F6449B">
        <w:rPr>
          <w:rFonts w:eastAsia="Times New Roman" w:cs="Calibri Light"/>
          <w:szCs w:val="18"/>
          <w:lang w:eastAsia="pl-PL"/>
        </w:rPr>
        <w:t>Kwoty nie uwzględniają zobowiązań Funduszu umieszczonych na liście deponentów, które wymagają potwierdzenia poprawności danych.</w:t>
      </w:r>
    </w:p>
  </w:footnote>
  <w:footnote w:id="5">
    <w:p w:rsidR="00D81D5B" w:rsidRPr="003D7E0D" w:rsidRDefault="00D81D5B" w:rsidP="00F62E47">
      <w:pPr>
        <w:widowControl w:val="0"/>
        <w:spacing w:after="0"/>
        <w:ind w:right="57" w:firstLine="0"/>
        <w:rPr>
          <w:rFonts w:cs="Calibri Light"/>
          <w:sz w:val="18"/>
          <w:szCs w:val="18"/>
          <w:highlight w:val="yellow"/>
          <w:lang w:eastAsia="en-US"/>
        </w:rPr>
      </w:pPr>
      <w:r w:rsidRPr="0060016D">
        <w:rPr>
          <w:rStyle w:val="Odwoanieprzypisudolnego"/>
          <w:rFonts w:cs="Calibri Light"/>
          <w:sz w:val="20"/>
          <w:szCs w:val="20"/>
        </w:rPr>
        <w:footnoteRef/>
      </w:r>
      <w:r w:rsidRPr="0060016D">
        <w:rPr>
          <w:rFonts w:cs="Calibri Light"/>
          <w:sz w:val="20"/>
          <w:szCs w:val="20"/>
        </w:rPr>
        <w:t xml:space="preserve"> </w:t>
      </w:r>
      <w:r w:rsidRPr="00AC0239">
        <w:rPr>
          <w:rStyle w:val="TekstpodstawowyzwciciemZnak"/>
          <w:rFonts w:cs="Calibri Light"/>
          <w:sz w:val="18"/>
          <w:szCs w:val="18"/>
        </w:rPr>
        <w:t>Wypłaty środków gwarantowanych z tytułu rachunków IKE oraz IKZE mogą być dokonywane w trzech formach przewidzianych przepisami ustawy o IKE oraz IKZE:</w:t>
      </w:r>
      <w:r w:rsidRPr="00AC0239">
        <w:rPr>
          <w:rFonts w:cs="Calibri Light"/>
          <w:sz w:val="18"/>
          <w:szCs w:val="18"/>
          <w:lang w:eastAsia="en-US"/>
        </w:rPr>
        <w:t xml:space="preserve"> </w:t>
      </w:r>
      <w:r w:rsidRPr="00AC0239">
        <w:rPr>
          <w:rFonts w:eastAsia="Palatino Linotype" w:cs="Calibri Light"/>
          <w:sz w:val="18"/>
          <w:szCs w:val="18"/>
          <w:lang w:eastAsia="en-US"/>
        </w:rPr>
        <w:t>wypłaty transferowej (po spełnieniu przez deponenta obowiązków wynikających z art. 14 ustawy o IKE oraz IKZE);</w:t>
      </w:r>
      <w:r w:rsidRPr="00AC0239">
        <w:rPr>
          <w:rFonts w:cs="Calibri Light"/>
          <w:sz w:val="18"/>
          <w:szCs w:val="18"/>
          <w:lang w:eastAsia="en-US"/>
        </w:rPr>
        <w:t xml:space="preserve"> </w:t>
      </w:r>
      <w:r w:rsidRPr="00AC0239">
        <w:rPr>
          <w:rFonts w:eastAsia="Palatino Linotype" w:cs="Calibri Light"/>
          <w:sz w:val="18"/>
          <w:szCs w:val="18"/>
          <w:lang w:eastAsia="en-US"/>
        </w:rPr>
        <w:t>zwrotu (tj. w przypadku IKE po pomniejszeniu o należny podatek);</w:t>
      </w:r>
      <w:r w:rsidRPr="00AC0239">
        <w:rPr>
          <w:rFonts w:cs="Calibri Light"/>
          <w:sz w:val="18"/>
          <w:szCs w:val="18"/>
          <w:lang w:eastAsia="en-US"/>
        </w:rPr>
        <w:t xml:space="preserve"> </w:t>
      </w:r>
      <w:r w:rsidRPr="00AC0239">
        <w:rPr>
          <w:rFonts w:eastAsia="Palatino Linotype" w:cs="Calibri Light"/>
          <w:sz w:val="18"/>
          <w:szCs w:val="18"/>
          <w:lang w:eastAsia="en-US"/>
        </w:rPr>
        <w:t>wypłaty (osobom, które spełniły warunki uprawniające do odbioru środków zgromadzonych na rachunku IKE lub IKZE bez żadnych potrąceń).</w:t>
      </w:r>
    </w:p>
  </w:footnote>
  <w:footnote w:id="6">
    <w:p w:rsidR="00D81D5B" w:rsidRPr="00394E8A" w:rsidRDefault="00D81D5B" w:rsidP="00F62E47">
      <w:pPr>
        <w:pStyle w:val="Tekstprzypisudolnego"/>
        <w:rPr>
          <w:rFonts w:cs="Calibri Light"/>
          <w:szCs w:val="18"/>
        </w:rPr>
      </w:pPr>
      <w:r w:rsidRPr="00175114">
        <w:rPr>
          <w:rStyle w:val="Odwoanieprzypisudolnego"/>
          <w:rFonts w:cs="Calibri Light"/>
          <w:szCs w:val="18"/>
        </w:rPr>
        <w:footnoteRef/>
      </w:r>
      <w:r w:rsidRPr="00175114">
        <w:rPr>
          <w:rFonts w:cs="Calibri Light"/>
          <w:szCs w:val="18"/>
        </w:rPr>
        <w:t xml:space="preserve"> </w:t>
      </w:r>
      <w:r w:rsidRPr="00175114">
        <w:rPr>
          <w:rFonts w:cs="Calibri Light"/>
        </w:rPr>
        <w:t>Kwoty nie uwzględniają zobowiązań umieszczonych na liście deponentów, które wymagają potwierdzenia poprawności danych.</w:t>
      </w:r>
    </w:p>
  </w:footnote>
  <w:footnote w:id="7">
    <w:p w:rsidR="00D81D5B" w:rsidRDefault="00D81D5B" w:rsidP="005C2DA4">
      <w:pPr>
        <w:pStyle w:val="Tekstprzypisudolnego"/>
      </w:pPr>
      <w:r>
        <w:rPr>
          <w:rStyle w:val="Odwoanieprzypisudolnego"/>
        </w:rPr>
        <w:footnoteRef/>
      </w:r>
      <w:r>
        <w:t xml:space="preserve"> </w:t>
      </w:r>
      <w:r w:rsidRPr="00EF3744">
        <w:t>https://www.bfg.pl/metodyka-mrel-zmiana-zasad-wyznaczania-srodokresowego-wymogu-mreltrea/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9BC"/>
    <w:multiLevelType w:val="hybridMultilevel"/>
    <w:tmpl w:val="0B889EE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A4BE83F0">
      <w:numFmt w:val="bullet"/>
      <w:lvlText w:val="•"/>
      <w:lvlJc w:val="left"/>
      <w:pPr>
        <w:ind w:left="2589" w:hanging="432"/>
      </w:pPr>
      <w:rPr>
        <w:rFonts w:ascii="Calibri Light" w:eastAsia="Calibri" w:hAnsi="Calibri Light" w:cs="Calibri Light"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04C10B34"/>
    <w:multiLevelType w:val="hybridMultilevel"/>
    <w:tmpl w:val="EF64620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 w15:restartNumberingAfterBreak="0">
    <w:nsid w:val="065342AD"/>
    <w:multiLevelType w:val="hybridMultilevel"/>
    <w:tmpl w:val="65F270EA"/>
    <w:lvl w:ilvl="0" w:tplc="04150001">
      <w:start w:val="1"/>
      <w:numFmt w:val="bullet"/>
      <w:lvlText w:val=""/>
      <w:lvlJc w:val="left"/>
      <w:pPr>
        <w:ind w:left="717" w:hanging="360"/>
      </w:pPr>
      <w:rPr>
        <w:rFonts w:ascii="Symbol" w:hAnsi="Symbol"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6701BC2"/>
    <w:multiLevelType w:val="hybridMultilevel"/>
    <w:tmpl w:val="3426172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E52F26"/>
    <w:multiLevelType w:val="multilevel"/>
    <w:tmpl w:val="7CA2BA56"/>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5" w15:restartNumberingAfterBreak="0">
    <w:nsid w:val="12BB31F0"/>
    <w:multiLevelType w:val="hybridMultilevel"/>
    <w:tmpl w:val="F132BA1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6" w15:restartNumberingAfterBreak="0">
    <w:nsid w:val="13F269FE"/>
    <w:multiLevelType w:val="hybridMultilevel"/>
    <w:tmpl w:val="68BA1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2754BF"/>
    <w:multiLevelType w:val="hybridMultilevel"/>
    <w:tmpl w:val="598CDAE2"/>
    <w:lvl w:ilvl="0" w:tplc="67DE45C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8716EEA"/>
    <w:multiLevelType w:val="hybridMultilevel"/>
    <w:tmpl w:val="1C8A5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9D0BA9"/>
    <w:multiLevelType w:val="hybridMultilevel"/>
    <w:tmpl w:val="06487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6D002F"/>
    <w:multiLevelType w:val="hybridMultilevel"/>
    <w:tmpl w:val="7056062A"/>
    <w:lvl w:ilvl="0" w:tplc="721E49B4">
      <w:start w:val="1"/>
      <w:numFmt w:val="bullet"/>
      <w:lvlText w:val=""/>
      <w:lvlJc w:val="left"/>
      <w:pPr>
        <w:ind w:left="360" w:hanging="360"/>
      </w:pPr>
      <w:rPr>
        <w:rFonts w:ascii="Symbol" w:hAnsi="Symbo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546158"/>
    <w:multiLevelType w:val="hybridMultilevel"/>
    <w:tmpl w:val="29725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C22E7"/>
    <w:multiLevelType w:val="hybridMultilevel"/>
    <w:tmpl w:val="694CE34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25A31ED1"/>
    <w:multiLevelType w:val="hybridMultilevel"/>
    <w:tmpl w:val="6F185DE2"/>
    <w:lvl w:ilvl="0" w:tplc="0415000F">
      <w:start w:val="1"/>
      <w:numFmt w:val="decimal"/>
      <w:lvlText w:val="%1."/>
      <w:lvlJc w:val="left"/>
      <w:pPr>
        <w:ind w:left="1080" w:hanging="72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5420BE"/>
    <w:multiLevelType w:val="hybridMultilevel"/>
    <w:tmpl w:val="A30685E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27965CD2"/>
    <w:multiLevelType w:val="hybridMultilevel"/>
    <w:tmpl w:val="3242877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28950E55"/>
    <w:multiLevelType w:val="hybridMultilevel"/>
    <w:tmpl w:val="82D6EA16"/>
    <w:lvl w:ilvl="0" w:tplc="1034015C">
      <w:start w:val="6"/>
      <w:numFmt w:val="decimal"/>
      <w:lvlText w:val="%1)"/>
      <w:lvlJc w:val="left"/>
      <w:pPr>
        <w:ind w:left="717"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23A91"/>
    <w:multiLevelType w:val="hybridMultilevel"/>
    <w:tmpl w:val="FA46EB48"/>
    <w:lvl w:ilvl="0" w:tplc="BA981164">
      <w:start w:val="1"/>
      <w:numFmt w:val="decimal"/>
      <w:lvlText w:val="%1)"/>
      <w:lvlJc w:val="left"/>
      <w:pPr>
        <w:ind w:left="717" w:hanging="360"/>
      </w:pPr>
      <w:rPr>
        <w:rFonts w:hint="default"/>
        <w:b w:val="0"/>
        <w:sz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4904421"/>
    <w:multiLevelType w:val="hybridMultilevel"/>
    <w:tmpl w:val="938244D4"/>
    <w:lvl w:ilvl="0" w:tplc="DEAC0DE4">
      <w:start w:val="2"/>
      <w:numFmt w:val="bullet"/>
      <w:lvlText w:val="•"/>
      <w:lvlJc w:val="left"/>
      <w:pPr>
        <w:ind w:left="1077" w:hanging="360"/>
      </w:pPr>
      <w:rPr>
        <w:rFonts w:ascii="Calibri Light" w:eastAsia="Times New Roman" w:hAnsi="Calibri Light" w:cs="Calibri Light"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37823F93"/>
    <w:multiLevelType w:val="multilevel"/>
    <w:tmpl w:val="9B440B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B672B4"/>
    <w:multiLevelType w:val="multilevel"/>
    <w:tmpl w:val="4B54474C"/>
    <w:lvl w:ilvl="0">
      <w:start w:val="11"/>
      <w:numFmt w:val="decimal"/>
      <w:lvlText w:val="%1."/>
      <w:lvlJc w:val="left"/>
      <w:pPr>
        <w:ind w:left="747" w:hanging="390"/>
      </w:pPr>
      <w:rPr>
        <w:rFonts w:hint="default"/>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1" w15:restartNumberingAfterBreak="0">
    <w:nsid w:val="3DC86917"/>
    <w:multiLevelType w:val="hybridMultilevel"/>
    <w:tmpl w:val="CBF62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1F3897"/>
    <w:multiLevelType w:val="hybridMultilevel"/>
    <w:tmpl w:val="A8846DCA"/>
    <w:lvl w:ilvl="0" w:tplc="529A40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6A15F7"/>
    <w:multiLevelType w:val="hybridMultilevel"/>
    <w:tmpl w:val="6A70BAF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42D52D1F"/>
    <w:multiLevelType w:val="multilevel"/>
    <w:tmpl w:val="47062A74"/>
    <w:lvl w:ilvl="0">
      <w:start w:val="1"/>
      <w:numFmt w:val="decimal"/>
      <w:pStyle w:val="Nagwek1ZnakZnak1"/>
      <w:lvlText w:val="%1."/>
      <w:lvlJc w:val="left"/>
      <w:pPr>
        <w:ind w:left="785" w:hanging="360"/>
      </w:pPr>
      <w:rPr>
        <w:rFonts w:hint="default"/>
        <w:b w:val="0"/>
        <w:sz w:val="28"/>
        <w:szCs w:val="28"/>
      </w:rPr>
    </w:lvl>
    <w:lvl w:ilvl="1">
      <w:start w:val="1"/>
      <w:numFmt w:val="decimal"/>
      <w:lvlText w:val="%1.%2"/>
      <w:lvlJc w:val="left"/>
      <w:pPr>
        <w:ind w:left="1789" w:hanging="360"/>
      </w:pPr>
      <w:rPr>
        <w:rFonts w:hint="default"/>
        <w:b/>
      </w:rPr>
    </w:lvl>
    <w:lvl w:ilvl="2">
      <w:start w:val="1"/>
      <w:numFmt w:val="decimal"/>
      <w:lvlText w:val="%1.%2.%3"/>
      <w:lvlJc w:val="left"/>
      <w:pPr>
        <w:ind w:left="720" w:hanging="720"/>
      </w:pPr>
      <w:rPr>
        <w:rFonts w:hint="default"/>
        <w:sz w:val="24"/>
        <w:szCs w:val="24"/>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5" w15:restartNumberingAfterBreak="0">
    <w:nsid w:val="44DD2460"/>
    <w:multiLevelType w:val="hybridMultilevel"/>
    <w:tmpl w:val="ACE68AAC"/>
    <w:lvl w:ilvl="0" w:tplc="525E59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50742C5A"/>
    <w:multiLevelType w:val="hybridMultilevel"/>
    <w:tmpl w:val="6CB611A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7" w15:restartNumberingAfterBreak="0">
    <w:nsid w:val="56A53E1E"/>
    <w:multiLevelType w:val="hybridMultilevel"/>
    <w:tmpl w:val="7F0EE1B6"/>
    <w:lvl w:ilvl="0" w:tplc="04150003">
      <w:start w:val="1"/>
      <w:numFmt w:val="bullet"/>
      <w:lvlText w:val="o"/>
      <w:lvlJc w:val="left"/>
      <w:pPr>
        <w:ind w:left="1437" w:hanging="360"/>
      </w:pPr>
      <w:rPr>
        <w:rFonts w:ascii="Courier New" w:hAnsi="Courier New" w:cs="Courier New"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8" w15:restartNumberingAfterBreak="0">
    <w:nsid w:val="58754BA0"/>
    <w:multiLevelType w:val="multilevel"/>
    <w:tmpl w:val="7ED6437C"/>
    <w:lvl w:ilvl="0">
      <w:start w:val="1"/>
      <w:numFmt w:val="decimal"/>
      <w:lvlText w:val="%1."/>
      <w:lvlJc w:val="left"/>
      <w:pPr>
        <w:ind w:left="717" w:hanging="360"/>
      </w:pPr>
      <w:rPr>
        <w:rFonts w:hint="default"/>
      </w:rPr>
    </w:lvl>
    <w:lvl w:ilvl="1">
      <w:start w:val="1"/>
      <w:numFmt w:val="decimal"/>
      <w:isLgl/>
      <w:lvlText w:val="%1.%2."/>
      <w:lvlJc w:val="left"/>
      <w:pPr>
        <w:ind w:left="801" w:hanging="444"/>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9" w15:restartNumberingAfterBreak="0">
    <w:nsid w:val="5A431661"/>
    <w:multiLevelType w:val="hybridMultilevel"/>
    <w:tmpl w:val="64322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B8167E"/>
    <w:multiLevelType w:val="hybridMultilevel"/>
    <w:tmpl w:val="1EFAD1F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EA1002"/>
    <w:multiLevelType w:val="hybridMultilevel"/>
    <w:tmpl w:val="2D30EDAA"/>
    <w:lvl w:ilvl="0" w:tplc="04150001">
      <w:start w:val="1"/>
      <w:numFmt w:val="bullet"/>
      <w:lvlText w:val=""/>
      <w:lvlJc w:val="left"/>
      <w:pPr>
        <w:ind w:left="717" w:hanging="360"/>
      </w:pPr>
      <w:rPr>
        <w:rFonts w:ascii="Symbol" w:hAnsi="Symbol" w:hint="default"/>
      </w:rPr>
    </w:lvl>
    <w:lvl w:ilvl="1" w:tplc="04150001">
      <w:start w:val="1"/>
      <w:numFmt w:val="bullet"/>
      <w:lvlText w:val=""/>
      <w:lvlJc w:val="left"/>
      <w:pPr>
        <w:ind w:left="1437" w:hanging="360"/>
      </w:pPr>
      <w:rPr>
        <w:rFonts w:ascii="Symbol" w:hAnsi="Symbol"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2" w15:restartNumberingAfterBreak="0">
    <w:nsid w:val="5EEE2D29"/>
    <w:multiLevelType w:val="hybridMultilevel"/>
    <w:tmpl w:val="7640DB1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61220E5C"/>
    <w:multiLevelType w:val="hybridMultilevel"/>
    <w:tmpl w:val="EF226B18"/>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4" w15:restartNumberingAfterBreak="0">
    <w:nsid w:val="61D27A67"/>
    <w:multiLevelType w:val="hybridMultilevel"/>
    <w:tmpl w:val="99364D5E"/>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5E1F7D"/>
    <w:multiLevelType w:val="hybridMultilevel"/>
    <w:tmpl w:val="A2ECDB9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6" w15:restartNumberingAfterBreak="0">
    <w:nsid w:val="6A883E7C"/>
    <w:multiLevelType w:val="hybridMultilevel"/>
    <w:tmpl w:val="C8B8BD1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7" w15:restartNumberingAfterBreak="0">
    <w:nsid w:val="7AEC79CB"/>
    <w:multiLevelType w:val="hybridMultilevel"/>
    <w:tmpl w:val="5DC4B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470EF0"/>
    <w:multiLevelType w:val="hybridMultilevel"/>
    <w:tmpl w:val="BC243CD2"/>
    <w:lvl w:ilvl="0" w:tplc="3496E390">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7CC57108"/>
    <w:multiLevelType w:val="hybridMultilevel"/>
    <w:tmpl w:val="0BE0E0E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4"/>
  </w:num>
  <w:num w:numId="2">
    <w:abstractNumId w:val="24"/>
  </w:num>
  <w:num w:numId="3">
    <w:abstractNumId w:val="19"/>
    <w:lvlOverride w:ilvl="0">
      <w:startOverride w:val="1"/>
    </w:lvlOverride>
    <w:lvlOverride w:ilvl="1">
      <w:startOverride w:val="1"/>
    </w:lvlOverride>
  </w:num>
  <w:num w:numId="4">
    <w:abstractNumId w:val="38"/>
  </w:num>
  <w:num w:numId="5">
    <w:abstractNumId w:val="28"/>
  </w:num>
  <w:num w:numId="6">
    <w:abstractNumId w:val="25"/>
  </w:num>
  <w:num w:numId="7">
    <w:abstractNumId w:val="1"/>
  </w:num>
  <w:num w:numId="8">
    <w:abstractNumId w:val="23"/>
  </w:num>
  <w:num w:numId="9">
    <w:abstractNumId w:val="17"/>
  </w:num>
  <w:num w:numId="10">
    <w:abstractNumId w:val="18"/>
  </w:num>
  <w:num w:numId="11">
    <w:abstractNumId w:val="15"/>
  </w:num>
  <w:num w:numId="12">
    <w:abstractNumId w:val="26"/>
  </w:num>
  <w:num w:numId="13">
    <w:abstractNumId w:val="39"/>
  </w:num>
  <w:num w:numId="14">
    <w:abstractNumId w:val="16"/>
  </w:num>
  <w:num w:numId="15">
    <w:abstractNumId w:val="27"/>
  </w:num>
  <w:num w:numId="16">
    <w:abstractNumId w:val="3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2"/>
  </w:num>
  <w:num w:numId="20">
    <w:abstractNumId w:val="0"/>
  </w:num>
  <w:num w:numId="21">
    <w:abstractNumId w:val="11"/>
  </w:num>
  <w:num w:numId="22">
    <w:abstractNumId w:val="5"/>
  </w:num>
  <w:num w:numId="23">
    <w:abstractNumId w:val="13"/>
  </w:num>
  <w:num w:numId="24">
    <w:abstractNumId w:val="6"/>
  </w:num>
  <w:num w:numId="25">
    <w:abstractNumId w:val="37"/>
  </w:num>
  <w:num w:numId="26">
    <w:abstractNumId w:val="9"/>
  </w:num>
  <w:num w:numId="27">
    <w:abstractNumId w:val="29"/>
  </w:num>
  <w:num w:numId="28">
    <w:abstractNumId w:val="36"/>
  </w:num>
  <w:num w:numId="29">
    <w:abstractNumId w:val="12"/>
  </w:num>
  <w:num w:numId="30">
    <w:abstractNumId w:val="21"/>
  </w:num>
  <w:num w:numId="31">
    <w:abstractNumId w:val="20"/>
  </w:num>
  <w:num w:numId="32">
    <w:abstractNumId w:val="3"/>
  </w:num>
  <w:num w:numId="33">
    <w:abstractNumId w:val="2"/>
  </w:num>
  <w:num w:numId="34">
    <w:abstractNumId w:val="7"/>
  </w:num>
  <w:num w:numId="35">
    <w:abstractNumId w:val="35"/>
  </w:num>
  <w:num w:numId="36">
    <w:abstractNumId w:val="33"/>
  </w:num>
  <w:num w:numId="37">
    <w:abstractNumId w:val="31"/>
  </w:num>
  <w:num w:numId="38">
    <w:abstractNumId w:val="8"/>
  </w:num>
  <w:num w:numId="39">
    <w:abstractNumId w:val="14"/>
  </w:num>
  <w:num w:numId="40">
    <w:abstractNumId w:val="34"/>
  </w:num>
  <w:num w:numId="41">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0"/>
    <w:rsid w:val="0000014C"/>
    <w:rsid w:val="00000C39"/>
    <w:rsid w:val="0000144A"/>
    <w:rsid w:val="00001F4E"/>
    <w:rsid w:val="00002DB7"/>
    <w:rsid w:val="00003602"/>
    <w:rsid w:val="000037A0"/>
    <w:rsid w:val="00004013"/>
    <w:rsid w:val="00005165"/>
    <w:rsid w:val="00005E37"/>
    <w:rsid w:val="00006AAF"/>
    <w:rsid w:val="000108DE"/>
    <w:rsid w:val="00010D47"/>
    <w:rsid w:val="00011894"/>
    <w:rsid w:val="00012C12"/>
    <w:rsid w:val="000131D8"/>
    <w:rsid w:val="0001367B"/>
    <w:rsid w:val="00014965"/>
    <w:rsid w:val="000166DC"/>
    <w:rsid w:val="0001727C"/>
    <w:rsid w:val="00017BBC"/>
    <w:rsid w:val="00021EFB"/>
    <w:rsid w:val="00022441"/>
    <w:rsid w:val="00023E75"/>
    <w:rsid w:val="00024742"/>
    <w:rsid w:val="00024E94"/>
    <w:rsid w:val="00025135"/>
    <w:rsid w:val="00025C0D"/>
    <w:rsid w:val="000273F5"/>
    <w:rsid w:val="00030A04"/>
    <w:rsid w:val="000317FA"/>
    <w:rsid w:val="00031810"/>
    <w:rsid w:val="000326DB"/>
    <w:rsid w:val="00032BC2"/>
    <w:rsid w:val="0003335F"/>
    <w:rsid w:val="00033A5B"/>
    <w:rsid w:val="000347B8"/>
    <w:rsid w:val="00034A0C"/>
    <w:rsid w:val="00035E70"/>
    <w:rsid w:val="0003604D"/>
    <w:rsid w:val="000363B0"/>
    <w:rsid w:val="00036D61"/>
    <w:rsid w:val="00036F42"/>
    <w:rsid w:val="00040485"/>
    <w:rsid w:val="0004248A"/>
    <w:rsid w:val="00042C69"/>
    <w:rsid w:val="000448E9"/>
    <w:rsid w:val="00045258"/>
    <w:rsid w:val="0004550F"/>
    <w:rsid w:val="00047867"/>
    <w:rsid w:val="00050004"/>
    <w:rsid w:val="00050A34"/>
    <w:rsid w:val="00051BD2"/>
    <w:rsid w:val="0005241C"/>
    <w:rsid w:val="00052B20"/>
    <w:rsid w:val="00053E0F"/>
    <w:rsid w:val="00054664"/>
    <w:rsid w:val="00055306"/>
    <w:rsid w:val="000560ED"/>
    <w:rsid w:val="0005666E"/>
    <w:rsid w:val="00057458"/>
    <w:rsid w:val="00057AF7"/>
    <w:rsid w:val="000602F8"/>
    <w:rsid w:val="0006316D"/>
    <w:rsid w:val="000642B8"/>
    <w:rsid w:val="000650FE"/>
    <w:rsid w:val="00065932"/>
    <w:rsid w:val="00065B2E"/>
    <w:rsid w:val="00067912"/>
    <w:rsid w:val="00067AC1"/>
    <w:rsid w:val="00067E5E"/>
    <w:rsid w:val="0007025D"/>
    <w:rsid w:val="000714A9"/>
    <w:rsid w:val="000716ED"/>
    <w:rsid w:val="000717C2"/>
    <w:rsid w:val="00072CB2"/>
    <w:rsid w:val="00074ED6"/>
    <w:rsid w:val="00075366"/>
    <w:rsid w:val="00076750"/>
    <w:rsid w:val="00077101"/>
    <w:rsid w:val="00077160"/>
    <w:rsid w:val="0007745D"/>
    <w:rsid w:val="0008125F"/>
    <w:rsid w:val="00081C81"/>
    <w:rsid w:val="00083D9F"/>
    <w:rsid w:val="00084904"/>
    <w:rsid w:val="00085078"/>
    <w:rsid w:val="0008541B"/>
    <w:rsid w:val="00085440"/>
    <w:rsid w:val="0008589D"/>
    <w:rsid w:val="000859F6"/>
    <w:rsid w:val="00086527"/>
    <w:rsid w:val="0008702A"/>
    <w:rsid w:val="00091337"/>
    <w:rsid w:val="00091B05"/>
    <w:rsid w:val="000931F5"/>
    <w:rsid w:val="00096E6C"/>
    <w:rsid w:val="000978F2"/>
    <w:rsid w:val="000A128D"/>
    <w:rsid w:val="000A3D04"/>
    <w:rsid w:val="000A4193"/>
    <w:rsid w:val="000A56BA"/>
    <w:rsid w:val="000A58AE"/>
    <w:rsid w:val="000A628C"/>
    <w:rsid w:val="000A68DF"/>
    <w:rsid w:val="000A6AF7"/>
    <w:rsid w:val="000A6C62"/>
    <w:rsid w:val="000A71C8"/>
    <w:rsid w:val="000A7876"/>
    <w:rsid w:val="000B07C4"/>
    <w:rsid w:val="000B083B"/>
    <w:rsid w:val="000B19EF"/>
    <w:rsid w:val="000B3706"/>
    <w:rsid w:val="000B3C7B"/>
    <w:rsid w:val="000B45A4"/>
    <w:rsid w:val="000B53D7"/>
    <w:rsid w:val="000B57E3"/>
    <w:rsid w:val="000B6989"/>
    <w:rsid w:val="000B7820"/>
    <w:rsid w:val="000B7C12"/>
    <w:rsid w:val="000C0AA7"/>
    <w:rsid w:val="000C17CD"/>
    <w:rsid w:val="000C2907"/>
    <w:rsid w:val="000C331E"/>
    <w:rsid w:val="000C6100"/>
    <w:rsid w:val="000C6356"/>
    <w:rsid w:val="000C79F0"/>
    <w:rsid w:val="000C7AA1"/>
    <w:rsid w:val="000D080F"/>
    <w:rsid w:val="000D12F5"/>
    <w:rsid w:val="000D2BCE"/>
    <w:rsid w:val="000D42E0"/>
    <w:rsid w:val="000D5184"/>
    <w:rsid w:val="000D7043"/>
    <w:rsid w:val="000D70A4"/>
    <w:rsid w:val="000D7506"/>
    <w:rsid w:val="000E041E"/>
    <w:rsid w:val="000E0B18"/>
    <w:rsid w:val="000E135E"/>
    <w:rsid w:val="000E47EA"/>
    <w:rsid w:val="000E4A09"/>
    <w:rsid w:val="000E5439"/>
    <w:rsid w:val="000E6450"/>
    <w:rsid w:val="000F02DE"/>
    <w:rsid w:val="000F134F"/>
    <w:rsid w:val="000F1CA5"/>
    <w:rsid w:val="000F28BE"/>
    <w:rsid w:val="000F46B8"/>
    <w:rsid w:val="000F6377"/>
    <w:rsid w:val="0010073A"/>
    <w:rsid w:val="00101D9D"/>
    <w:rsid w:val="001025F7"/>
    <w:rsid w:val="0010305B"/>
    <w:rsid w:val="001049C9"/>
    <w:rsid w:val="00105089"/>
    <w:rsid w:val="00105C6E"/>
    <w:rsid w:val="00106290"/>
    <w:rsid w:val="0010645D"/>
    <w:rsid w:val="001066AA"/>
    <w:rsid w:val="0010710A"/>
    <w:rsid w:val="0011052A"/>
    <w:rsid w:val="00110953"/>
    <w:rsid w:val="00110E9D"/>
    <w:rsid w:val="001116A7"/>
    <w:rsid w:val="00112C74"/>
    <w:rsid w:val="00112E5D"/>
    <w:rsid w:val="00112EE1"/>
    <w:rsid w:val="00112F46"/>
    <w:rsid w:val="001134C2"/>
    <w:rsid w:val="0011653C"/>
    <w:rsid w:val="001166F2"/>
    <w:rsid w:val="00116E3B"/>
    <w:rsid w:val="0012014E"/>
    <w:rsid w:val="0012125B"/>
    <w:rsid w:val="00122A36"/>
    <w:rsid w:val="00122ABC"/>
    <w:rsid w:val="001235E1"/>
    <w:rsid w:val="00125737"/>
    <w:rsid w:val="00126DF4"/>
    <w:rsid w:val="00126F4A"/>
    <w:rsid w:val="00131128"/>
    <w:rsid w:val="00131785"/>
    <w:rsid w:val="001337FC"/>
    <w:rsid w:val="00134CB1"/>
    <w:rsid w:val="00135DF7"/>
    <w:rsid w:val="001362D5"/>
    <w:rsid w:val="0013643C"/>
    <w:rsid w:val="0013706D"/>
    <w:rsid w:val="001375CF"/>
    <w:rsid w:val="001406F7"/>
    <w:rsid w:val="001412DB"/>
    <w:rsid w:val="001432B9"/>
    <w:rsid w:val="00144D77"/>
    <w:rsid w:val="00146BDE"/>
    <w:rsid w:val="00150038"/>
    <w:rsid w:val="00150B29"/>
    <w:rsid w:val="0015165A"/>
    <w:rsid w:val="001528F2"/>
    <w:rsid w:val="00152F39"/>
    <w:rsid w:val="001537EA"/>
    <w:rsid w:val="0015478D"/>
    <w:rsid w:val="00154D78"/>
    <w:rsid w:val="001567B1"/>
    <w:rsid w:val="001614A1"/>
    <w:rsid w:val="00161DB3"/>
    <w:rsid w:val="00161F21"/>
    <w:rsid w:val="001627B3"/>
    <w:rsid w:val="00163800"/>
    <w:rsid w:val="00163D79"/>
    <w:rsid w:val="00164279"/>
    <w:rsid w:val="001643E2"/>
    <w:rsid w:val="001664A2"/>
    <w:rsid w:val="00166D47"/>
    <w:rsid w:val="00172541"/>
    <w:rsid w:val="0017358A"/>
    <w:rsid w:val="00174170"/>
    <w:rsid w:val="00174630"/>
    <w:rsid w:val="00174A38"/>
    <w:rsid w:val="00181657"/>
    <w:rsid w:val="00183300"/>
    <w:rsid w:val="001843B1"/>
    <w:rsid w:val="0018440F"/>
    <w:rsid w:val="0018585D"/>
    <w:rsid w:val="00185BB9"/>
    <w:rsid w:val="00186162"/>
    <w:rsid w:val="001862C6"/>
    <w:rsid w:val="0019095F"/>
    <w:rsid w:val="0019101B"/>
    <w:rsid w:val="00192E92"/>
    <w:rsid w:val="001936A6"/>
    <w:rsid w:val="00193FBD"/>
    <w:rsid w:val="00194244"/>
    <w:rsid w:val="00195191"/>
    <w:rsid w:val="00196CF1"/>
    <w:rsid w:val="001975E3"/>
    <w:rsid w:val="00197D81"/>
    <w:rsid w:val="001A0FAA"/>
    <w:rsid w:val="001A387E"/>
    <w:rsid w:val="001A4769"/>
    <w:rsid w:val="001A59B6"/>
    <w:rsid w:val="001A5EA0"/>
    <w:rsid w:val="001A71DD"/>
    <w:rsid w:val="001B130E"/>
    <w:rsid w:val="001B1588"/>
    <w:rsid w:val="001B26DC"/>
    <w:rsid w:val="001B3014"/>
    <w:rsid w:val="001B3183"/>
    <w:rsid w:val="001B5521"/>
    <w:rsid w:val="001B64DA"/>
    <w:rsid w:val="001C08C3"/>
    <w:rsid w:val="001C102B"/>
    <w:rsid w:val="001C1266"/>
    <w:rsid w:val="001C180D"/>
    <w:rsid w:val="001C2AC4"/>
    <w:rsid w:val="001C4EEF"/>
    <w:rsid w:val="001C68F2"/>
    <w:rsid w:val="001C72E4"/>
    <w:rsid w:val="001C7CF2"/>
    <w:rsid w:val="001C7DBF"/>
    <w:rsid w:val="001D01BB"/>
    <w:rsid w:val="001D111A"/>
    <w:rsid w:val="001D1262"/>
    <w:rsid w:val="001D1774"/>
    <w:rsid w:val="001D20CE"/>
    <w:rsid w:val="001D3B7B"/>
    <w:rsid w:val="001D4533"/>
    <w:rsid w:val="001D4CE0"/>
    <w:rsid w:val="001D4FDA"/>
    <w:rsid w:val="001D5098"/>
    <w:rsid w:val="001D5380"/>
    <w:rsid w:val="001D564A"/>
    <w:rsid w:val="001E117E"/>
    <w:rsid w:val="001E12F9"/>
    <w:rsid w:val="001E1980"/>
    <w:rsid w:val="001E27A9"/>
    <w:rsid w:val="001E3F9A"/>
    <w:rsid w:val="001E48CC"/>
    <w:rsid w:val="001E51B6"/>
    <w:rsid w:val="001E5A01"/>
    <w:rsid w:val="001E6C2D"/>
    <w:rsid w:val="001E74E5"/>
    <w:rsid w:val="001F50AA"/>
    <w:rsid w:val="001F5DF7"/>
    <w:rsid w:val="001F628F"/>
    <w:rsid w:val="00200A00"/>
    <w:rsid w:val="002014B5"/>
    <w:rsid w:val="00201E0C"/>
    <w:rsid w:val="00206227"/>
    <w:rsid w:val="0020679B"/>
    <w:rsid w:val="00206C1B"/>
    <w:rsid w:val="00210D09"/>
    <w:rsid w:val="00210F9A"/>
    <w:rsid w:val="0021218B"/>
    <w:rsid w:val="0021279D"/>
    <w:rsid w:val="00212B27"/>
    <w:rsid w:val="00212BE0"/>
    <w:rsid w:val="00213D82"/>
    <w:rsid w:val="00214E6E"/>
    <w:rsid w:val="00215B4B"/>
    <w:rsid w:val="002160F8"/>
    <w:rsid w:val="0021655E"/>
    <w:rsid w:val="00216810"/>
    <w:rsid w:val="00222683"/>
    <w:rsid w:val="002226F9"/>
    <w:rsid w:val="002236AD"/>
    <w:rsid w:val="00223E1C"/>
    <w:rsid w:val="0022421F"/>
    <w:rsid w:val="002249CF"/>
    <w:rsid w:val="00225816"/>
    <w:rsid w:val="00225DC2"/>
    <w:rsid w:val="00231140"/>
    <w:rsid w:val="00233E46"/>
    <w:rsid w:val="002361F6"/>
    <w:rsid w:val="002410BB"/>
    <w:rsid w:val="00241998"/>
    <w:rsid w:val="00241B49"/>
    <w:rsid w:val="00241C5E"/>
    <w:rsid w:val="002425F0"/>
    <w:rsid w:val="002437BD"/>
    <w:rsid w:val="002441F6"/>
    <w:rsid w:val="00245289"/>
    <w:rsid w:val="00245416"/>
    <w:rsid w:val="00245D61"/>
    <w:rsid w:val="00246FF1"/>
    <w:rsid w:val="002471CE"/>
    <w:rsid w:val="00247F14"/>
    <w:rsid w:val="00250D8D"/>
    <w:rsid w:val="002511BB"/>
    <w:rsid w:val="002512F8"/>
    <w:rsid w:val="0025222A"/>
    <w:rsid w:val="002542A1"/>
    <w:rsid w:val="00254594"/>
    <w:rsid w:val="00254A13"/>
    <w:rsid w:val="002556B4"/>
    <w:rsid w:val="00255EF2"/>
    <w:rsid w:val="002566BE"/>
    <w:rsid w:val="002571B8"/>
    <w:rsid w:val="002574A3"/>
    <w:rsid w:val="0026089A"/>
    <w:rsid w:val="00260C99"/>
    <w:rsid w:val="0026269B"/>
    <w:rsid w:val="002627B2"/>
    <w:rsid w:val="00262E79"/>
    <w:rsid w:val="00263083"/>
    <w:rsid w:val="00264E43"/>
    <w:rsid w:val="00264E74"/>
    <w:rsid w:val="002653F4"/>
    <w:rsid w:val="00270041"/>
    <w:rsid w:val="0027069C"/>
    <w:rsid w:val="00270EAC"/>
    <w:rsid w:val="0027230B"/>
    <w:rsid w:val="00272DED"/>
    <w:rsid w:val="002744C0"/>
    <w:rsid w:val="002747A4"/>
    <w:rsid w:val="002752A0"/>
    <w:rsid w:val="00275A6C"/>
    <w:rsid w:val="002761DC"/>
    <w:rsid w:val="002765AF"/>
    <w:rsid w:val="00276A40"/>
    <w:rsid w:val="00276D6A"/>
    <w:rsid w:val="002771DD"/>
    <w:rsid w:val="00281BE0"/>
    <w:rsid w:val="00282ACC"/>
    <w:rsid w:val="002831C7"/>
    <w:rsid w:val="0028329D"/>
    <w:rsid w:val="0028488A"/>
    <w:rsid w:val="00284A87"/>
    <w:rsid w:val="002858E3"/>
    <w:rsid w:val="002863A7"/>
    <w:rsid w:val="002865B4"/>
    <w:rsid w:val="00287631"/>
    <w:rsid w:val="00287F15"/>
    <w:rsid w:val="0029005C"/>
    <w:rsid w:val="002926D0"/>
    <w:rsid w:val="002928BA"/>
    <w:rsid w:val="002930B4"/>
    <w:rsid w:val="0029427C"/>
    <w:rsid w:val="00295557"/>
    <w:rsid w:val="00296643"/>
    <w:rsid w:val="00296E78"/>
    <w:rsid w:val="0029742C"/>
    <w:rsid w:val="002A1906"/>
    <w:rsid w:val="002A2B0E"/>
    <w:rsid w:val="002A3402"/>
    <w:rsid w:val="002A4390"/>
    <w:rsid w:val="002A5897"/>
    <w:rsid w:val="002A6127"/>
    <w:rsid w:val="002A655E"/>
    <w:rsid w:val="002B05F5"/>
    <w:rsid w:val="002B0FEC"/>
    <w:rsid w:val="002B16EF"/>
    <w:rsid w:val="002B1EC3"/>
    <w:rsid w:val="002B2DA0"/>
    <w:rsid w:val="002B42E0"/>
    <w:rsid w:val="002B48D9"/>
    <w:rsid w:val="002B5902"/>
    <w:rsid w:val="002B77E1"/>
    <w:rsid w:val="002C1234"/>
    <w:rsid w:val="002C1451"/>
    <w:rsid w:val="002C1B36"/>
    <w:rsid w:val="002C1DAE"/>
    <w:rsid w:val="002C2270"/>
    <w:rsid w:val="002C2A4F"/>
    <w:rsid w:val="002C3028"/>
    <w:rsid w:val="002C5372"/>
    <w:rsid w:val="002C6414"/>
    <w:rsid w:val="002D0421"/>
    <w:rsid w:val="002D1244"/>
    <w:rsid w:val="002D1954"/>
    <w:rsid w:val="002D1AAA"/>
    <w:rsid w:val="002D1E2A"/>
    <w:rsid w:val="002D253A"/>
    <w:rsid w:val="002D27C3"/>
    <w:rsid w:val="002D2C7D"/>
    <w:rsid w:val="002D39EC"/>
    <w:rsid w:val="002D49E5"/>
    <w:rsid w:val="002D66E8"/>
    <w:rsid w:val="002D6F26"/>
    <w:rsid w:val="002E0FCE"/>
    <w:rsid w:val="002E1454"/>
    <w:rsid w:val="002E1BF7"/>
    <w:rsid w:val="002E2749"/>
    <w:rsid w:val="002E2A79"/>
    <w:rsid w:val="002E2FE4"/>
    <w:rsid w:val="002E7117"/>
    <w:rsid w:val="002E71F9"/>
    <w:rsid w:val="002F15FD"/>
    <w:rsid w:val="002F3447"/>
    <w:rsid w:val="002F3A35"/>
    <w:rsid w:val="002F4015"/>
    <w:rsid w:val="002F4227"/>
    <w:rsid w:val="002F4BDB"/>
    <w:rsid w:val="002F5747"/>
    <w:rsid w:val="002F5A27"/>
    <w:rsid w:val="002F67E5"/>
    <w:rsid w:val="002F6AD2"/>
    <w:rsid w:val="002F7666"/>
    <w:rsid w:val="002F7788"/>
    <w:rsid w:val="00300B6C"/>
    <w:rsid w:val="00300EF4"/>
    <w:rsid w:val="00302C26"/>
    <w:rsid w:val="00302ED0"/>
    <w:rsid w:val="00302F7F"/>
    <w:rsid w:val="00303C5B"/>
    <w:rsid w:val="00303D8E"/>
    <w:rsid w:val="003067F3"/>
    <w:rsid w:val="00307965"/>
    <w:rsid w:val="00307D5C"/>
    <w:rsid w:val="0031042D"/>
    <w:rsid w:val="00310D13"/>
    <w:rsid w:val="0031149F"/>
    <w:rsid w:val="003117CB"/>
    <w:rsid w:val="00311D81"/>
    <w:rsid w:val="00312F6A"/>
    <w:rsid w:val="003152EF"/>
    <w:rsid w:val="00316336"/>
    <w:rsid w:val="00316638"/>
    <w:rsid w:val="00317B1B"/>
    <w:rsid w:val="00317D60"/>
    <w:rsid w:val="0032038C"/>
    <w:rsid w:val="00321500"/>
    <w:rsid w:val="00321B8E"/>
    <w:rsid w:val="00321CE5"/>
    <w:rsid w:val="003222BC"/>
    <w:rsid w:val="00322EAE"/>
    <w:rsid w:val="00323550"/>
    <w:rsid w:val="00323839"/>
    <w:rsid w:val="00326215"/>
    <w:rsid w:val="003309EA"/>
    <w:rsid w:val="003317EA"/>
    <w:rsid w:val="003320D8"/>
    <w:rsid w:val="0033298B"/>
    <w:rsid w:val="0033758B"/>
    <w:rsid w:val="00337E57"/>
    <w:rsid w:val="003421A7"/>
    <w:rsid w:val="003425F2"/>
    <w:rsid w:val="00343515"/>
    <w:rsid w:val="00345033"/>
    <w:rsid w:val="00345390"/>
    <w:rsid w:val="00350373"/>
    <w:rsid w:val="00350D72"/>
    <w:rsid w:val="003515C1"/>
    <w:rsid w:val="00352077"/>
    <w:rsid w:val="00352A74"/>
    <w:rsid w:val="00353248"/>
    <w:rsid w:val="003544D7"/>
    <w:rsid w:val="00354E28"/>
    <w:rsid w:val="0035594A"/>
    <w:rsid w:val="0035678C"/>
    <w:rsid w:val="00360A89"/>
    <w:rsid w:val="00360E7E"/>
    <w:rsid w:val="003612B0"/>
    <w:rsid w:val="00362934"/>
    <w:rsid w:val="00363805"/>
    <w:rsid w:val="00364011"/>
    <w:rsid w:val="003640C4"/>
    <w:rsid w:val="003648B9"/>
    <w:rsid w:val="00365B73"/>
    <w:rsid w:val="00366676"/>
    <w:rsid w:val="003702F1"/>
    <w:rsid w:val="00370824"/>
    <w:rsid w:val="00370AB4"/>
    <w:rsid w:val="0037159A"/>
    <w:rsid w:val="003721AC"/>
    <w:rsid w:val="003772FB"/>
    <w:rsid w:val="00377A38"/>
    <w:rsid w:val="00380F1A"/>
    <w:rsid w:val="003813C4"/>
    <w:rsid w:val="00381E8C"/>
    <w:rsid w:val="00381F2E"/>
    <w:rsid w:val="00383B12"/>
    <w:rsid w:val="00383FAA"/>
    <w:rsid w:val="003849EE"/>
    <w:rsid w:val="00385C9C"/>
    <w:rsid w:val="003861EA"/>
    <w:rsid w:val="0038792E"/>
    <w:rsid w:val="0039131C"/>
    <w:rsid w:val="00392569"/>
    <w:rsid w:val="0039474C"/>
    <w:rsid w:val="00394827"/>
    <w:rsid w:val="00395081"/>
    <w:rsid w:val="003964C5"/>
    <w:rsid w:val="0039754D"/>
    <w:rsid w:val="00397AB0"/>
    <w:rsid w:val="00397E9C"/>
    <w:rsid w:val="003A19AC"/>
    <w:rsid w:val="003A204E"/>
    <w:rsid w:val="003A271A"/>
    <w:rsid w:val="003A31BB"/>
    <w:rsid w:val="003A3A6E"/>
    <w:rsid w:val="003A3D51"/>
    <w:rsid w:val="003A5453"/>
    <w:rsid w:val="003A598A"/>
    <w:rsid w:val="003A5C08"/>
    <w:rsid w:val="003A68A1"/>
    <w:rsid w:val="003B1F9D"/>
    <w:rsid w:val="003B506A"/>
    <w:rsid w:val="003B5CF7"/>
    <w:rsid w:val="003B75D3"/>
    <w:rsid w:val="003B7853"/>
    <w:rsid w:val="003C0339"/>
    <w:rsid w:val="003C0EAE"/>
    <w:rsid w:val="003C1317"/>
    <w:rsid w:val="003C1AFF"/>
    <w:rsid w:val="003C32B5"/>
    <w:rsid w:val="003C347E"/>
    <w:rsid w:val="003C4D35"/>
    <w:rsid w:val="003C75F6"/>
    <w:rsid w:val="003D02FA"/>
    <w:rsid w:val="003D1992"/>
    <w:rsid w:val="003D3188"/>
    <w:rsid w:val="003D31E2"/>
    <w:rsid w:val="003D3A47"/>
    <w:rsid w:val="003D42AC"/>
    <w:rsid w:val="003D44E8"/>
    <w:rsid w:val="003D57CE"/>
    <w:rsid w:val="003D67F2"/>
    <w:rsid w:val="003D73A8"/>
    <w:rsid w:val="003E03BD"/>
    <w:rsid w:val="003E0D73"/>
    <w:rsid w:val="003E2F8C"/>
    <w:rsid w:val="003E4051"/>
    <w:rsid w:val="003E6313"/>
    <w:rsid w:val="003E652D"/>
    <w:rsid w:val="003E782A"/>
    <w:rsid w:val="003F04B4"/>
    <w:rsid w:val="003F0A66"/>
    <w:rsid w:val="003F146F"/>
    <w:rsid w:val="003F44F3"/>
    <w:rsid w:val="003F4DEA"/>
    <w:rsid w:val="003F67C9"/>
    <w:rsid w:val="003F6A02"/>
    <w:rsid w:val="003F7E4E"/>
    <w:rsid w:val="00400132"/>
    <w:rsid w:val="00400C04"/>
    <w:rsid w:val="004014B7"/>
    <w:rsid w:val="00401733"/>
    <w:rsid w:val="004039CE"/>
    <w:rsid w:val="00403D04"/>
    <w:rsid w:val="00403D92"/>
    <w:rsid w:val="00404731"/>
    <w:rsid w:val="00405166"/>
    <w:rsid w:val="00405EDE"/>
    <w:rsid w:val="00411C93"/>
    <w:rsid w:val="0041224C"/>
    <w:rsid w:val="00412968"/>
    <w:rsid w:val="004135A6"/>
    <w:rsid w:val="00414331"/>
    <w:rsid w:val="0041481F"/>
    <w:rsid w:val="004176E9"/>
    <w:rsid w:val="004201EC"/>
    <w:rsid w:val="00420662"/>
    <w:rsid w:val="00420FA2"/>
    <w:rsid w:val="004217FB"/>
    <w:rsid w:val="0042182C"/>
    <w:rsid w:val="00421FB2"/>
    <w:rsid w:val="0042210B"/>
    <w:rsid w:val="00422924"/>
    <w:rsid w:val="00423673"/>
    <w:rsid w:val="0042455E"/>
    <w:rsid w:val="004254CA"/>
    <w:rsid w:val="0042649F"/>
    <w:rsid w:val="004266AE"/>
    <w:rsid w:val="0042697F"/>
    <w:rsid w:val="00427071"/>
    <w:rsid w:val="00427292"/>
    <w:rsid w:val="00430001"/>
    <w:rsid w:val="004312E4"/>
    <w:rsid w:val="00431F70"/>
    <w:rsid w:val="00435F41"/>
    <w:rsid w:val="004360A8"/>
    <w:rsid w:val="004378E5"/>
    <w:rsid w:val="00443EC1"/>
    <w:rsid w:val="004442FD"/>
    <w:rsid w:val="0044459A"/>
    <w:rsid w:val="00446665"/>
    <w:rsid w:val="004466D5"/>
    <w:rsid w:val="004511EF"/>
    <w:rsid w:val="004547A0"/>
    <w:rsid w:val="0045786A"/>
    <w:rsid w:val="00460AE8"/>
    <w:rsid w:val="00462880"/>
    <w:rsid w:val="0046367F"/>
    <w:rsid w:val="00463F59"/>
    <w:rsid w:val="00464C10"/>
    <w:rsid w:val="00465923"/>
    <w:rsid w:val="00467C04"/>
    <w:rsid w:val="00467C3F"/>
    <w:rsid w:val="00467C8C"/>
    <w:rsid w:val="00471082"/>
    <w:rsid w:val="00472FF4"/>
    <w:rsid w:val="00473A3A"/>
    <w:rsid w:val="00473CFB"/>
    <w:rsid w:val="0047419B"/>
    <w:rsid w:val="00474D64"/>
    <w:rsid w:val="004753A9"/>
    <w:rsid w:val="00475728"/>
    <w:rsid w:val="00477A01"/>
    <w:rsid w:val="00477B30"/>
    <w:rsid w:val="00477CCC"/>
    <w:rsid w:val="004802A5"/>
    <w:rsid w:val="004810CF"/>
    <w:rsid w:val="00481323"/>
    <w:rsid w:val="00484A10"/>
    <w:rsid w:val="00484FD1"/>
    <w:rsid w:val="00485477"/>
    <w:rsid w:val="004854B7"/>
    <w:rsid w:val="004870DF"/>
    <w:rsid w:val="004874A6"/>
    <w:rsid w:val="0049171D"/>
    <w:rsid w:val="00491D81"/>
    <w:rsid w:val="00492472"/>
    <w:rsid w:val="00492FE4"/>
    <w:rsid w:val="00493F71"/>
    <w:rsid w:val="0049425B"/>
    <w:rsid w:val="00494368"/>
    <w:rsid w:val="00494918"/>
    <w:rsid w:val="00494D53"/>
    <w:rsid w:val="00495948"/>
    <w:rsid w:val="0049698B"/>
    <w:rsid w:val="004A020C"/>
    <w:rsid w:val="004A0943"/>
    <w:rsid w:val="004A25F7"/>
    <w:rsid w:val="004A2810"/>
    <w:rsid w:val="004A33AC"/>
    <w:rsid w:val="004A35D9"/>
    <w:rsid w:val="004A62EE"/>
    <w:rsid w:val="004A6BF0"/>
    <w:rsid w:val="004A716A"/>
    <w:rsid w:val="004A7C69"/>
    <w:rsid w:val="004B1C0D"/>
    <w:rsid w:val="004B28D5"/>
    <w:rsid w:val="004B3011"/>
    <w:rsid w:val="004B3D9E"/>
    <w:rsid w:val="004B45CE"/>
    <w:rsid w:val="004B49FE"/>
    <w:rsid w:val="004B4A8F"/>
    <w:rsid w:val="004B4B73"/>
    <w:rsid w:val="004B5570"/>
    <w:rsid w:val="004B56FC"/>
    <w:rsid w:val="004B5E33"/>
    <w:rsid w:val="004B6842"/>
    <w:rsid w:val="004B7088"/>
    <w:rsid w:val="004B730A"/>
    <w:rsid w:val="004C0FB0"/>
    <w:rsid w:val="004C3108"/>
    <w:rsid w:val="004C4429"/>
    <w:rsid w:val="004C52D6"/>
    <w:rsid w:val="004C5FB3"/>
    <w:rsid w:val="004C6FCA"/>
    <w:rsid w:val="004C7660"/>
    <w:rsid w:val="004C7CE6"/>
    <w:rsid w:val="004D026C"/>
    <w:rsid w:val="004D1E55"/>
    <w:rsid w:val="004D22AF"/>
    <w:rsid w:val="004D2592"/>
    <w:rsid w:val="004D2819"/>
    <w:rsid w:val="004D2B5A"/>
    <w:rsid w:val="004D2F7F"/>
    <w:rsid w:val="004D4932"/>
    <w:rsid w:val="004D4ACE"/>
    <w:rsid w:val="004D51FD"/>
    <w:rsid w:val="004D59C6"/>
    <w:rsid w:val="004E0174"/>
    <w:rsid w:val="004E01A0"/>
    <w:rsid w:val="004E02F5"/>
    <w:rsid w:val="004E3604"/>
    <w:rsid w:val="004E53DF"/>
    <w:rsid w:val="004E61FF"/>
    <w:rsid w:val="004E6384"/>
    <w:rsid w:val="004E75A7"/>
    <w:rsid w:val="004F0805"/>
    <w:rsid w:val="004F0D0D"/>
    <w:rsid w:val="004F1B04"/>
    <w:rsid w:val="004F1D4D"/>
    <w:rsid w:val="004F2764"/>
    <w:rsid w:val="004F37C9"/>
    <w:rsid w:val="004F3EF9"/>
    <w:rsid w:val="004F4B95"/>
    <w:rsid w:val="004F5FAB"/>
    <w:rsid w:val="004F6AFC"/>
    <w:rsid w:val="00501999"/>
    <w:rsid w:val="00502F07"/>
    <w:rsid w:val="00503E5C"/>
    <w:rsid w:val="00506689"/>
    <w:rsid w:val="00506B8D"/>
    <w:rsid w:val="005102D1"/>
    <w:rsid w:val="0051129B"/>
    <w:rsid w:val="005115B3"/>
    <w:rsid w:val="005119B9"/>
    <w:rsid w:val="00511B4F"/>
    <w:rsid w:val="00511BD9"/>
    <w:rsid w:val="0051233E"/>
    <w:rsid w:val="0051381E"/>
    <w:rsid w:val="00514355"/>
    <w:rsid w:val="005148CB"/>
    <w:rsid w:val="00517F1A"/>
    <w:rsid w:val="00520523"/>
    <w:rsid w:val="00521B84"/>
    <w:rsid w:val="0052235F"/>
    <w:rsid w:val="0052346F"/>
    <w:rsid w:val="00523B6D"/>
    <w:rsid w:val="005257FD"/>
    <w:rsid w:val="00525C8A"/>
    <w:rsid w:val="005261C5"/>
    <w:rsid w:val="005307ED"/>
    <w:rsid w:val="005326A6"/>
    <w:rsid w:val="00532EC1"/>
    <w:rsid w:val="00534857"/>
    <w:rsid w:val="00535439"/>
    <w:rsid w:val="00536015"/>
    <w:rsid w:val="00536A81"/>
    <w:rsid w:val="00536DD3"/>
    <w:rsid w:val="005373E3"/>
    <w:rsid w:val="00537EBD"/>
    <w:rsid w:val="005407FC"/>
    <w:rsid w:val="005446A3"/>
    <w:rsid w:val="00546DC9"/>
    <w:rsid w:val="0055148D"/>
    <w:rsid w:val="00553133"/>
    <w:rsid w:val="0055319A"/>
    <w:rsid w:val="00554B9A"/>
    <w:rsid w:val="005551DC"/>
    <w:rsid w:val="005554D0"/>
    <w:rsid w:val="005557B4"/>
    <w:rsid w:val="0055607C"/>
    <w:rsid w:val="005603AA"/>
    <w:rsid w:val="005604C6"/>
    <w:rsid w:val="00562D27"/>
    <w:rsid w:val="00566D25"/>
    <w:rsid w:val="00567454"/>
    <w:rsid w:val="0056780B"/>
    <w:rsid w:val="00567D67"/>
    <w:rsid w:val="00567E33"/>
    <w:rsid w:val="00567F25"/>
    <w:rsid w:val="00572FED"/>
    <w:rsid w:val="0057358C"/>
    <w:rsid w:val="00574135"/>
    <w:rsid w:val="0057727A"/>
    <w:rsid w:val="00580A44"/>
    <w:rsid w:val="00581666"/>
    <w:rsid w:val="00581CB4"/>
    <w:rsid w:val="00582E98"/>
    <w:rsid w:val="00584037"/>
    <w:rsid w:val="00584ED4"/>
    <w:rsid w:val="005853FE"/>
    <w:rsid w:val="00585688"/>
    <w:rsid w:val="00585DE1"/>
    <w:rsid w:val="005866AD"/>
    <w:rsid w:val="00586788"/>
    <w:rsid w:val="00586C6E"/>
    <w:rsid w:val="0058782F"/>
    <w:rsid w:val="005940C4"/>
    <w:rsid w:val="005951F6"/>
    <w:rsid w:val="00595FE0"/>
    <w:rsid w:val="00596654"/>
    <w:rsid w:val="005A0A42"/>
    <w:rsid w:val="005A0BD1"/>
    <w:rsid w:val="005A1AD5"/>
    <w:rsid w:val="005A2780"/>
    <w:rsid w:val="005A41A6"/>
    <w:rsid w:val="005A5238"/>
    <w:rsid w:val="005A6833"/>
    <w:rsid w:val="005B0B8E"/>
    <w:rsid w:val="005B0DBF"/>
    <w:rsid w:val="005B0E0C"/>
    <w:rsid w:val="005B2413"/>
    <w:rsid w:val="005B2848"/>
    <w:rsid w:val="005B3613"/>
    <w:rsid w:val="005B3BA8"/>
    <w:rsid w:val="005B3C8F"/>
    <w:rsid w:val="005B3DF2"/>
    <w:rsid w:val="005B44AF"/>
    <w:rsid w:val="005B4570"/>
    <w:rsid w:val="005B48EB"/>
    <w:rsid w:val="005B4F9F"/>
    <w:rsid w:val="005B56D0"/>
    <w:rsid w:val="005B65DC"/>
    <w:rsid w:val="005B75C2"/>
    <w:rsid w:val="005C04B9"/>
    <w:rsid w:val="005C10A8"/>
    <w:rsid w:val="005C1235"/>
    <w:rsid w:val="005C14EA"/>
    <w:rsid w:val="005C20EE"/>
    <w:rsid w:val="005C2CB1"/>
    <w:rsid w:val="005C2DA4"/>
    <w:rsid w:val="005C46D3"/>
    <w:rsid w:val="005C5BF1"/>
    <w:rsid w:val="005C5CD4"/>
    <w:rsid w:val="005C6DEA"/>
    <w:rsid w:val="005C7ADB"/>
    <w:rsid w:val="005D1A1E"/>
    <w:rsid w:val="005D26B6"/>
    <w:rsid w:val="005D273A"/>
    <w:rsid w:val="005D28F8"/>
    <w:rsid w:val="005D3C1A"/>
    <w:rsid w:val="005D5542"/>
    <w:rsid w:val="005D5B52"/>
    <w:rsid w:val="005D6026"/>
    <w:rsid w:val="005D7E17"/>
    <w:rsid w:val="005D7EC1"/>
    <w:rsid w:val="005E0F0E"/>
    <w:rsid w:val="005E11EA"/>
    <w:rsid w:val="005E2228"/>
    <w:rsid w:val="005E283E"/>
    <w:rsid w:val="005E3923"/>
    <w:rsid w:val="005E5AE7"/>
    <w:rsid w:val="005E5AF7"/>
    <w:rsid w:val="005E61E7"/>
    <w:rsid w:val="005E765E"/>
    <w:rsid w:val="005F02B3"/>
    <w:rsid w:val="005F1C71"/>
    <w:rsid w:val="005F2157"/>
    <w:rsid w:val="005F3E19"/>
    <w:rsid w:val="0060105F"/>
    <w:rsid w:val="00601C23"/>
    <w:rsid w:val="00602464"/>
    <w:rsid w:val="00603306"/>
    <w:rsid w:val="00604AD7"/>
    <w:rsid w:val="00605645"/>
    <w:rsid w:val="00605BA6"/>
    <w:rsid w:val="00606200"/>
    <w:rsid w:val="00606850"/>
    <w:rsid w:val="00607075"/>
    <w:rsid w:val="006073A3"/>
    <w:rsid w:val="0061082E"/>
    <w:rsid w:val="00611210"/>
    <w:rsid w:val="00611C9B"/>
    <w:rsid w:val="00612088"/>
    <w:rsid w:val="00614ED2"/>
    <w:rsid w:val="00615756"/>
    <w:rsid w:val="00615B7A"/>
    <w:rsid w:val="00616ACF"/>
    <w:rsid w:val="006174F3"/>
    <w:rsid w:val="00617948"/>
    <w:rsid w:val="00620A07"/>
    <w:rsid w:val="006211BA"/>
    <w:rsid w:val="0062140E"/>
    <w:rsid w:val="006215FC"/>
    <w:rsid w:val="006237D5"/>
    <w:rsid w:val="006247D8"/>
    <w:rsid w:val="00624B29"/>
    <w:rsid w:val="00624E13"/>
    <w:rsid w:val="00625181"/>
    <w:rsid w:val="00630CAA"/>
    <w:rsid w:val="0063106D"/>
    <w:rsid w:val="00632025"/>
    <w:rsid w:val="00632947"/>
    <w:rsid w:val="00632F24"/>
    <w:rsid w:val="00633D45"/>
    <w:rsid w:val="00634548"/>
    <w:rsid w:val="00634E26"/>
    <w:rsid w:val="00635886"/>
    <w:rsid w:val="00635E6F"/>
    <w:rsid w:val="0063637F"/>
    <w:rsid w:val="00637B25"/>
    <w:rsid w:val="006400A6"/>
    <w:rsid w:val="006417E0"/>
    <w:rsid w:val="00641BF8"/>
    <w:rsid w:val="00641D8C"/>
    <w:rsid w:val="0064520C"/>
    <w:rsid w:val="006466FD"/>
    <w:rsid w:val="00646ABD"/>
    <w:rsid w:val="006476C9"/>
    <w:rsid w:val="00647AEF"/>
    <w:rsid w:val="00651526"/>
    <w:rsid w:val="006518F4"/>
    <w:rsid w:val="00652865"/>
    <w:rsid w:val="006528A3"/>
    <w:rsid w:val="00653398"/>
    <w:rsid w:val="00653FCA"/>
    <w:rsid w:val="00655385"/>
    <w:rsid w:val="006557DD"/>
    <w:rsid w:val="00655B56"/>
    <w:rsid w:val="00656374"/>
    <w:rsid w:val="00661402"/>
    <w:rsid w:val="00661E9E"/>
    <w:rsid w:val="0066234B"/>
    <w:rsid w:val="0066257C"/>
    <w:rsid w:val="00662BA1"/>
    <w:rsid w:val="00662C69"/>
    <w:rsid w:val="00662D3F"/>
    <w:rsid w:val="00663B83"/>
    <w:rsid w:val="00663FF2"/>
    <w:rsid w:val="0066605A"/>
    <w:rsid w:val="00667104"/>
    <w:rsid w:val="006701A8"/>
    <w:rsid w:val="00670831"/>
    <w:rsid w:val="00670D66"/>
    <w:rsid w:val="006718FE"/>
    <w:rsid w:val="006719F0"/>
    <w:rsid w:val="006726AD"/>
    <w:rsid w:val="0067274C"/>
    <w:rsid w:val="0067293E"/>
    <w:rsid w:val="00672E1D"/>
    <w:rsid w:val="006741FE"/>
    <w:rsid w:val="00674F11"/>
    <w:rsid w:val="00675ADA"/>
    <w:rsid w:val="00675D47"/>
    <w:rsid w:val="006761F1"/>
    <w:rsid w:val="00676B5F"/>
    <w:rsid w:val="006776C7"/>
    <w:rsid w:val="00681B5A"/>
    <w:rsid w:val="0068279C"/>
    <w:rsid w:val="00686193"/>
    <w:rsid w:val="006918AF"/>
    <w:rsid w:val="006930E9"/>
    <w:rsid w:val="0069364E"/>
    <w:rsid w:val="006956FA"/>
    <w:rsid w:val="00696A8D"/>
    <w:rsid w:val="00697870"/>
    <w:rsid w:val="006A002A"/>
    <w:rsid w:val="006A15F9"/>
    <w:rsid w:val="006A1D50"/>
    <w:rsid w:val="006A3402"/>
    <w:rsid w:val="006A340D"/>
    <w:rsid w:val="006A42DC"/>
    <w:rsid w:val="006A50F8"/>
    <w:rsid w:val="006A537B"/>
    <w:rsid w:val="006A5DC0"/>
    <w:rsid w:val="006A6C1A"/>
    <w:rsid w:val="006A79C4"/>
    <w:rsid w:val="006B007C"/>
    <w:rsid w:val="006B0841"/>
    <w:rsid w:val="006B0870"/>
    <w:rsid w:val="006B128D"/>
    <w:rsid w:val="006B181C"/>
    <w:rsid w:val="006B1AC0"/>
    <w:rsid w:val="006B1CD9"/>
    <w:rsid w:val="006B1CDA"/>
    <w:rsid w:val="006B1EC5"/>
    <w:rsid w:val="006B20C5"/>
    <w:rsid w:val="006B26B0"/>
    <w:rsid w:val="006B28B4"/>
    <w:rsid w:val="006B3CC0"/>
    <w:rsid w:val="006C01E2"/>
    <w:rsid w:val="006C0280"/>
    <w:rsid w:val="006C14F0"/>
    <w:rsid w:val="006C3092"/>
    <w:rsid w:val="006C32E5"/>
    <w:rsid w:val="006C3CF7"/>
    <w:rsid w:val="006C4D29"/>
    <w:rsid w:val="006C56A1"/>
    <w:rsid w:val="006C5F48"/>
    <w:rsid w:val="006C6774"/>
    <w:rsid w:val="006C684B"/>
    <w:rsid w:val="006C6A55"/>
    <w:rsid w:val="006C6EFD"/>
    <w:rsid w:val="006C7BCE"/>
    <w:rsid w:val="006D0143"/>
    <w:rsid w:val="006D07C8"/>
    <w:rsid w:val="006D0910"/>
    <w:rsid w:val="006D0D2F"/>
    <w:rsid w:val="006D2A9B"/>
    <w:rsid w:val="006D2C66"/>
    <w:rsid w:val="006D3097"/>
    <w:rsid w:val="006D3597"/>
    <w:rsid w:val="006D5E8B"/>
    <w:rsid w:val="006D5FEB"/>
    <w:rsid w:val="006E0378"/>
    <w:rsid w:val="006E28DF"/>
    <w:rsid w:val="006E3343"/>
    <w:rsid w:val="006E3632"/>
    <w:rsid w:val="006E4928"/>
    <w:rsid w:val="006E530D"/>
    <w:rsid w:val="006E73B6"/>
    <w:rsid w:val="006E780B"/>
    <w:rsid w:val="006E799A"/>
    <w:rsid w:val="006F056E"/>
    <w:rsid w:val="006F09F3"/>
    <w:rsid w:val="006F1082"/>
    <w:rsid w:val="006F4221"/>
    <w:rsid w:val="006F5859"/>
    <w:rsid w:val="006F5A3E"/>
    <w:rsid w:val="006F5B5E"/>
    <w:rsid w:val="006F633C"/>
    <w:rsid w:val="006F6CA8"/>
    <w:rsid w:val="006F6CC6"/>
    <w:rsid w:val="00700DA2"/>
    <w:rsid w:val="00701F85"/>
    <w:rsid w:val="00702691"/>
    <w:rsid w:val="00702D0B"/>
    <w:rsid w:val="00704EBF"/>
    <w:rsid w:val="0070503E"/>
    <w:rsid w:val="0070548B"/>
    <w:rsid w:val="00705D42"/>
    <w:rsid w:val="00706995"/>
    <w:rsid w:val="00710175"/>
    <w:rsid w:val="00710480"/>
    <w:rsid w:val="007105DC"/>
    <w:rsid w:val="00710F47"/>
    <w:rsid w:val="00712213"/>
    <w:rsid w:val="00712A1D"/>
    <w:rsid w:val="007133B2"/>
    <w:rsid w:val="0071357F"/>
    <w:rsid w:val="00715454"/>
    <w:rsid w:val="00715791"/>
    <w:rsid w:val="00720B02"/>
    <w:rsid w:val="007215D6"/>
    <w:rsid w:val="00727CD0"/>
    <w:rsid w:val="00730040"/>
    <w:rsid w:val="00730641"/>
    <w:rsid w:val="00730982"/>
    <w:rsid w:val="00730A6C"/>
    <w:rsid w:val="0073178C"/>
    <w:rsid w:val="00732501"/>
    <w:rsid w:val="00732D33"/>
    <w:rsid w:val="00733B93"/>
    <w:rsid w:val="0073451F"/>
    <w:rsid w:val="0073513A"/>
    <w:rsid w:val="007351FE"/>
    <w:rsid w:val="00735469"/>
    <w:rsid w:val="007371F1"/>
    <w:rsid w:val="007405E3"/>
    <w:rsid w:val="007412DC"/>
    <w:rsid w:val="00741EB1"/>
    <w:rsid w:val="00743065"/>
    <w:rsid w:val="0074372F"/>
    <w:rsid w:val="00743B84"/>
    <w:rsid w:val="00743F18"/>
    <w:rsid w:val="007446FB"/>
    <w:rsid w:val="00745954"/>
    <w:rsid w:val="00746878"/>
    <w:rsid w:val="007468FC"/>
    <w:rsid w:val="007500B0"/>
    <w:rsid w:val="007506FF"/>
    <w:rsid w:val="0075191D"/>
    <w:rsid w:val="00752108"/>
    <w:rsid w:val="007527C5"/>
    <w:rsid w:val="007530D7"/>
    <w:rsid w:val="00753E60"/>
    <w:rsid w:val="00754178"/>
    <w:rsid w:val="00754334"/>
    <w:rsid w:val="00754C21"/>
    <w:rsid w:val="007551CC"/>
    <w:rsid w:val="00757064"/>
    <w:rsid w:val="00757F39"/>
    <w:rsid w:val="00761F4C"/>
    <w:rsid w:val="007621BF"/>
    <w:rsid w:val="00762365"/>
    <w:rsid w:val="007629B4"/>
    <w:rsid w:val="00762B19"/>
    <w:rsid w:val="00763180"/>
    <w:rsid w:val="007638AB"/>
    <w:rsid w:val="00763ACE"/>
    <w:rsid w:val="0076523D"/>
    <w:rsid w:val="00765DBD"/>
    <w:rsid w:val="00767753"/>
    <w:rsid w:val="007709B2"/>
    <w:rsid w:val="00770D10"/>
    <w:rsid w:val="00771702"/>
    <w:rsid w:val="00771BA6"/>
    <w:rsid w:val="007728AD"/>
    <w:rsid w:val="00773628"/>
    <w:rsid w:val="00775B04"/>
    <w:rsid w:val="00775C1A"/>
    <w:rsid w:val="00776A63"/>
    <w:rsid w:val="00777618"/>
    <w:rsid w:val="007810C6"/>
    <w:rsid w:val="00781488"/>
    <w:rsid w:val="00781817"/>
    <w:rsid w:val="00781C16"/>
    <w:rsid w:val="007821CC"/>
    <w:rsid w:val="00783375"/>
    <w:rsid w:val="0078454C"/>
    <w:rsid w:val="007845A5"/>
    <w:rsid w:val="0078735E"/>
    <w:rsid w:val="007876FE"/>
    <w:rsid w:val="0079048E"/>
    <w:rsid w:val="00790918"/>
    <w:rsid w:val="007921E9"/>
    <w:rsid w:val="00793825"/>
    <w:rsid w:val="00794E27"/>
    <w:rsid w:val="00795BF0"/>
    <w:rsid w:val="0079665E"/>
    <w:rsid w:val="007968B7"/>
    <w:rsid w:val="00796B49"/>
    <w:rsid w:val="00797AC5"/>
    <w:rsid w:val="007A0364"/>
    <w:rsid w:val="007A0D7B"/>
    <w:rsid w:val="007A0E92"/>
    <w:rsid w:val="007A1B62"/>
    <w:rsid w:val="007A4879"/>
    <w:rsid w:val="007A5975"/>
    <w:rsid w:val="007A6838"/>
    <w:rsid w:val="007A7A87"/>
    <w:rsid w:val="007A7E32"/>
    <w:rsid w:val="007B0E30"/>
    <w:rsid w:val="007B1385"/>
    <w:rsid w:val="007B17A4"/>
    <w:rsid w:val="007B1BC4"/>
    <w:rsid w:val="007B2B24"/>
    <w:rsid w:val="007B49A3"/>
    <w:rsid w:val="007B549F"/>
    <w:rsid w:val="007B654C"/>
    <w:rsid w:val="007B6BEA"/>
    <w:rsid w:val="007B6DB7"/>
    <w:rsid w:val="007B726C"/>
    <w:rsid w:val="007B767F"/>
    <w:rsid w:val="007B7DCA"/>
    <w:rsid w:val="007C01DC"/>
    <w:rsid w:val="007C02F3"/>
    <w:rsid w:val="007C0EB7"/>
    <w:rsid w:val="007C354D"/>
    <w:rsid w:val="007C35D1"/>
    <w:rsid w:val="007C3911"/>
    <w:rsid w:val="007C3DD4"/>
    <w:rsid w:val="007C44E8"/>
    <w:rsid w:val="007C536F"/>
    <w:rsid w:val="007C5C65"/>
    <w:rsid w:val="007C69DF"/>
    <w:rsid w:val="007C712A"/>
    <w:rsid w:val="007C7442"/>
    <w:rsid w:val="007D0136"/>
    <w:rsid w:val="007D0DFF"/>
    <w:rsid w:val="007D152E"/>
    <w:rsid w:val="007D2211"/>
    <w:rsid w:val="007D23A7"/>
    <w:rsid w:val="007D2952"/>
    <w:rsid w:val="007D3654"/>
    <w:rsid w:val="007D3A1E"/>
    <w:rsid w:val="007D3B53"/>
    <w:rsid w:val="007D4BA5"/>
    <w:rsid w:val="007D5DC6"/>
    <w:rsid w:val="007D6DA8"/>
    <w:rsid w:val="007D782B"/>
    <w:rsid w:val="007D7FCA"/>
    <w:rsid w:val="007E3AAB"/>
    <w:rsid w:val="007E541C"/>
    <w:rsid w:val="007E6214"/>
    <w:rsid w:val="007E6433"/>
    <w:rsid w:val="007E7C5E"/>
    <w:rsid w:val="007E7C73"/>
    <w:rsid w:val="007F0E72"/>
    <w:rsid w:val="007F2DC0"/>
    <w:rsid w:val="007F3166"/>
    <w:rsid w:val="007F4012"/>
    <w:rsid w:val="007F435B"/>
    <w:rsid w:val="007F4685"/>
    <w:rsid w:val="007F5082"/>
    <w:rsid w:val="007F6486"/>
    <w:rsid w:val="008004CF"/>
    <w:rsid w:val="00800B83"/>
    <w:rsid w:val="0080116B"/>
    <w:rsid w:val="008019FA"/>
    <w:rsid w:val="00801E24"/>
    <w:rsid w:val="0080243B"/>
    <w:rsid w:val="00802C52"/>
    <w:rsid w:val="00802D2E"/>
    <w:rsid w:val="00803116"/>
    <w:rsid w:val="008039A9"/>
    <w:rsid w:val="00805C25"/>
    <w:rsid w:val="00810667"/>
    <w:rsid w:val="008156E5"/>
    <w:rsid w:val="00815A7C"/>
    <w:rsid w:val="00817071"/>
    <w:rsid w:val="00817338"/>
    <w:rsid w:val="0081783A"/>
    <w:rsid w:val="00817D46"/>
    <w:rsid w:val="00820864"/>
    <w:rsid w:val="008220ED"/>
    <w:rsid w:val="00822AF4"/>
    <w:rsid w:val="008237B3"/>
    <w:rsid w:val="00824175"/>
    <w:rsid w:val="00824AA7"/>
    <w:rsid w:val="00824D1D"/>
    <w:rsid w:val="00826C08"/>
    <w:rsid w:val="00826DF5"/>
    <w:rsid w:val="008274E3"/>
    <w:rsid w:val="0083061F"/>
    <w:rsid w:val="008309E5"/>
    <w:rsid w:val="00831DC8"/>
    <w:rsid w:val="00832750"/>
    <w:rsid w:val="00833CE2"/>
    <w:rsid w:val="00834874"/>
    <w:rsid w:val="00834F18"/>
    <w:rsid w:val="00835E23"/>
    <w:rsid w:val="00836331"/>
    <w:rsid w:val="00836B6F"/>
    <w:rsid w:val="00836DE3"/>
    <w:rsid w:val="00837311"/>
    <w:rsid w:val="0084092A"/>
    <w:rsid w:val="008414FB"/>
    <w:rsid w:val="008422EE"/>
    <w:rsid w:val="00844DAB"/>
    <w:rsid w:val="008473DA"/>
    <w:rsid w:val="00847402"/>
    <w:rsid w:val="00847888"/>
    <w:rsid w:val="00850FF3"/>
    <w:rsid w:val="00851769"/>
    <w:rsid w:val="00853F3A"/>
    <w:rsid w:val="00855B37"/>
    <w:rsid w:val="00856F6E"/>
    <w:rsid w:val="00860201"/>
    <w:rsid w:val="00860D7B"/>
    <w:rsid w:val="008610AD"/>
    <w:rsid w:val="008610F1"/>
    <w:rsid w:val="00862C73"/>
    <w:rsid w:val="00864B74"/>
    <w:rsid w:val="00865A43"/>
    <w:rsid w:val="008660FE"/>
    <w:rsid w:val="008701B0"/>
    <w:rsid w:val="0087031E"/>
    <w:rsid w:val="008719DC"/>
    <w:rsid w:val="00871AAC"/>
    <w:rsid w:val="00871AF1"/>
    <w:rsid w:val="00872D9D"/>
    <w:rsid w:val="00873903"/>
    <w:rsid w:val="00873AAB"/>
    <w:rsid w:val="00874940"/>
    <w:rsid w:val="008751CD"/>
    <w:rsid w:val="0087592C"/>
    <w:rsid w:val="00875EC1"/>
    <w:rsid w:val="0087760D"/>
    <w:rsid w:val="00877944"/>
    <w:rsid w:val="0088003C"/>
    <w:rsid w:val="0088120C"/>
    <w:rsid w:val="00883D68"/>
    <w:rsid w:val="0088455D"/>
    <w:rsid w:val="00884A26"/>
    <w:rsid w:val="00885147"/>
    <w:rsid w:val="00885E1F"/>
    <w:rsid w:val="00885FA3"/>
    <w:rsid w:val="00886EF5"/>
    <w:rsid w:val="00887052"/>
    <w:rsid w:val="00887131"/>
    <w:rsid w:val="00887C38"/>
    <w:rsid w:val="00890084"/>
    <w:rsid w:val="008933D6"/>
    <w:rsid w:val="00894E14"/>
    <w:rsid w:val="0089592F"/>
    <w:rsid w:val="00897018"/>
    <w:rsid w:val="0089701E"/>
    <w:rsid w:val="00897320"/>
    <w:rsid w:val="008976E0"/>
    <w:rsid w:val="008A0467"/>
    <w:rsid w:val="008A098C"/>
    <w:rsid w:val="008A1396"/>
    <w:rsid w:val="008A1B24"/>
    <w:rsid w:val="008A4C76"/>
    <w:rsid w:val="008A5AB8"/>
    <w:rsid w:val="008A5DC1"/>
    <w:rsid w:val="008A6F7E"/>
    <w:rsid w:val="008A78C4"/>
    <w:rsid w:val="008B0B43"/>
    <w:rsid w:val="008B0FCF"/>
    <w:rsid w:val="008B11ED"/>
    <w:rsid w:val="008B18FD"/>
    <w:rsid w:val="008B21D4"/>
    <w:rsid w:val="008B2F47"/>
    <w:rsid w:val="008B30A6"/>
    <w:rsid w:val="008B4B02"/>
    <w:rsid w:val="008B6237"/>
    <w:rsid w:val="008C0843"/>
    <w:rsid w:val="008C39CE"/>
    <w:rsid w:val="008C4E4F"/>
    <w:rsid w:val="008C56B9"/>
    <w:rsid w:val="008C5F8A"/>
    <w:rsid w:val="008C6702"/>
    <w:rsid w:val="008C67D1"/>
    <w:rsid w:val="008C6D85"/>
    <w:rsid w:val="008D0999"/>
    <w:rsid w:val="008D0B10"/>
    <w:rsid w:val="008D11C9"/>
    <w:rsid w:val="008D16AD"/>
    <w:rsid w:val="008D16D8"/>
    <w:rsid w:val="008D1950"/>
    <w:rsid w:val="008D47E9"/>
    <w:rsid w:val="008D522F"/>
    <w:rsid w:val="008D5B81"/>
    <w:rsid w:val="008D63FD"/>
    <w:rsid w:val="008D6D80"/>
    <w:rsid w:val="008E1306"/>
    <w:rsid w:val="008E1AC5"/>
    <w:rsid w:val="008E3D68"/>
    <w:rsid w:val="008E582B"/>
    <w:rsid w:val="008E7739"/>
    <w:rsid w:val="008F0C28"/>
    <w:rsid w:val="008F2CC2"/>
    <w:rsid w:val="008F2FDF"/>
    <w:rsid w:val="008F38A9"/>
    <w:rsid w:val="008F45A4"/>
    <w:rsid w:val="008F5F52"/>
    <w:rsid w:val="008F6EB6"/>
    <w:rsid w:val="008F77E6"/>
    <w:rsid w:val="008F7EA3"/>
    <w:rsid w:val="00901EE5"/>
    <w:rsid w:val="009028B0"/>
    <w:rsid w:val="00903D68"/>
    <w:rsid w:val="009050D8"/>
    <w:rsid w:val="00907832"/>
    <w:rsid w:val="0091015E"/>
    <w:rsid w:val="009102D7"/>
    <w:rsid w:val="00910C22"/>
    <w:rsid w:val="00912121"/>
    <w:rsid w:val="009122C5"/>
    <w:rsid w:val="0091267D"/>
    <w:rsid w:val="009140F8"/>
    <w:rsid w:val="009150DD"/>
    <w:rsid w:val="00915C86"/>
    <w:rsid w:val="009164C7"/>
    <w:rsid w:val="009169AC"/>
    <w:rsid w:val="00916E7E"/>
    <w:rsid w:val="0092116A"/>
    <w:rsid w:val="00921D93"/>
    <w:rsid w:val="00922E07"/>
    <w:rsid w:val="009231C2"/>
    <w:rsid w:val="00923B3B"/>
    <w:rsid w:val="0092627B"/>
    <w:rsid w:val="0092653B"/>
    <w:rsid w:val="00926F6C"/>
    <w:rsid w:val="009273FC"/>
    <w:rsid w:val="0093176E"/>
    <w:rsid w:val="0093186D"/>
    <w:rsid w:val="00934024"/>
    <w:rsid w:val="009356AE"/>
    <w:rsid w:val="00935C1F"/>
    <w:rsid w:val="009365D6"/>
    <w:rsid w:val="009379D3"/>
    <w:rsid w:val="00940330"/>
    <w:rsid w:val="009408DF"/>
    <w:rsid w:val="00940D4C"/>
    <w:rsid w:val="009419DC"/>
    <w:rsid w:val="00941D27"/>
    <w:rsid w:val="00943FC0"/>
    <w:rsid w:val="0094444D"/>
    <w:rsid w:val="009448E8"/>
    <w:rsid w:val="00945008"/>
    <w:rsid w:val="00947C9D"/>
    <w:rsid w:val="00947D45"/>
    <w:rsid w:val="00955135"/>
    <w:rsid w:val="0095544A"/>
    <w:rsid w:val="009568FA"/>
    <w:rsid w:val="00956E29"/>
    <w:rsid w:val="0095725A"/>
    <w:rsid w:val="00957672"/>
    <w:rsid w:val="00960603"/>
    <w:rsid w:val="00961E93"/>
    <w:rsid w:val="00963FC1"/>
    <w:rsid w:val="00964850"/>
    <w:rsid w:val="009658EA"/>
    <w:rsid w:val="00965D51"/>
    <w:rsid w:val="0096618A"/>
    <w:rsid w:val="00966A43"/>
    <w:rsid w:val="009704EC"/>
    <w:rsid w:val="009709DE"/>
    <w:rsid w:val="0097153E"/>
    <w:rsid w:val="00971D1C"/>
    <w:rsid w:val="009736F9"/>
    <w:rsid w:val="00973C25"/>
    <w:rsid w:val="00973DD2"/>
    <w:rsid w:val="009763CB"/>
    <w:rsid w:val="0097682C"/>
    <w:rsid w:val="009768B3"/>
    <w:rsid w:val="009777E5"/>
    <w:rsid w:val="009816B3"/>
    <w:rsid w:val="00981881"/>
    <w:rsid w:val="00982D30"/>
    <w:rsid w:val="00982D81"/>
    <w:rsid w:val="00983DBA"/>
    <w:rsid w:val="009844E3"/>
    <w:rsid w:val="009850BD"/>
    <w:rsid w:val="0098587E"/>
    <w:rsid w:val="00985C3A"/>
    <w:rsid w:val="00990258"/>
    <w:rsid w:val="009909F5"/>
    <w:rsid w:val="00990AB3"/>
    <w:rsid w:val="00992864"/>
    <w:rsid w:val="009934D1"/>
    <w:rsid w:val="00993789"/>
    <w:rsid w:val="0099706D"/>
    <w:rsid w:val="009975B6"/>
    <w:rsid w:val="009A216F"/>
    <w:rsid w:val="009A2192"/>
    <w:rsid w:val="009A3627"/>
    <w:rsid w:val="009A4D49"/>
    <w:rsid w:val="009A58C2"/>
    <w:rsid w:val="009A5A4C"/>
    <w:rsid w:val="009A5C12"/>
    <w:rsid w:val="009A6004"/>
    <w:rsid w:val="009B0A73"/>
    <w:rsid w:val="009B0C0A"/>
    <w:rsid w:val="009B3234"/>
    <w:rsid w:val="009B459F"/>
    <w:rsid w:val="009B4E0B"/>
    <w:rsid w:val="009B5968"/>
    <w:rsid w:val="009B5A5F"/>
    <w:rsid w:val="009B6C52"/>
    <w:rsid w:val="009B6DE9"/>
    <w:rsid w:val="009B716E"/>
    <w:rsid w:val="009C0DE7"/>
    <w:rsid w:val="009C178A"/>
    <w:rsid w:val="009C1FEA"/>
    <w:rsid w:val="009C2867"/>
    <w:rsid w:val="009C37CE"/>
    <w:rsid w:val="009C4D8C"/>
    <w:rsid w:val="009C5241"/>
    <w:rsid w:val="009C7559"/>
    <w:rsid w:val="009D01B4"/>
    <w:rsid w:val="009D227B"/>
    <w:rsid w:val="009D409C"/>
    <w:rsid w:val="009D43E0"/>
    <w:rsid w:val="009D4AEC"/>
    <w:rsid w:val="009D5919"/>
    <w:rsid w:val="009D5BD6"/>
    <w:rsid w:val="009D5C5C"/>
    <w:rsid w:val="009D615F"/>
    <w:rsid w:val="009D739F"/>
    <w:rsid w:val="009D796A"/>
    <w:rsid w:val="009D7C3B"/>
    <w:rsid w:val="009E221D"/>
    <w:rsid w:val="009E2370"/>
    <w:rsid w:val="009E3F86"/>
    <w:rsid w:val="009E4563"/>
    <w:rsid w:val="009E46B1"/>
    <w:rsid w:val="009E7AD9"/>
    <w:rsid w:val="009F0702"/>
    <w:rsid w:val="009F0764"/>
    <w:rsid w:val="009F0ED0"/>
    <w:rsid w:val="009F2B23"/>
    <w:rsid w:val="009F3134"/>
    <w:rsid w:val="009F674D"/>
    <w:rsid w:val="009F6B06"/>
    <w:rsid w:val="009F7D90"/>
    <w:rsid w:val="00A015EA"/>
    <w:rsid w:val="00A01C0B"/>
    <w:rsid w:val="00A02444"/>
    <w:rsid w:val="00A02894"/>
    <w:rsid w:val="00A0295A"/>
    <w:rsid w:val="00A02E30"/>
    <w:rsid w:val="00A02ECE"/>
    <w:rsid w:val="00A0650C"/>
    <w:rsid w:val="00A0715D"/>
    <w:rsid w:val="00A077F7"/>
    <w:rsid w:val="00A10A71"/>
    <w:rsid w:val="00A10BDE"/>
    <w:rsid w:val="00A11E52"/>
    <w:rsid w:val="00A129B6"/>
    <w:rsid w:val="00A130D1"/>
    <w:rsid w:val="00A13729"/>
    <w:rsid w:val="00A13F9D"/>
    <w:rsid w:val="00A14575"/>
    <w:rsid w:val="00A14B7A"/>
    <w:rsid w:val="00A14CA6"/>
    <w:rsid w:val="00A14E56"/>
    <w:rsid w:val="00A16203"/>
    <w:rsid w:val="00A174B8"/>
    <w:rsid w:val="00A17E8E"/>
    <w:rsid w:val="00A20BBB"/>
    <w:rsid w:val="00A20CC8"/>
    <w:rsid w:val="00A2156F"/>
    <w:rsid w:val="00A22901"/>
    <w:rsid w:val="00A24532"/>
    <w:rsid w:val="00A24A16"/>
    <w:rsid w:val="00A27156"/>
    <w:rsid w:val="00A27342"/>
    <w:rsid w:val="00A27485"/>
    <w:rsid w:val="00A3124F"/>
    <w:rsid w:val="00A329FD"/>
    <w:rsid w:val="00A33BEC"/>
    <w:rsid w:val="00A34AE0"/>
    <w:rsid w:val="00A358D3"/>
    <w:rsid w:val="00A3786A"/>
    <w:rsid w:val="00A40D1E"/>
    <w:rsid w:val="00A40EFB"/>
    <w:rsid w:val="00A43AFD"/>
    <w:rsid w:val="00A447C6"/>
    <w:rsid w:val="00A44DEE"/>
    <w:rsid w:val="00A44FBB"/>
    <w:rsid w:val="00A455E4"/>
    <w:rsid w:val="00A46944"/>
    <w:rsid w:val="00A46BC6"/>
    <w:rsid w:val="00A47C0E"/>
    <w:rsid w:val="00A51434"/>
    <w:rsid w:val="00A5277B"/>
    <w:rsid w:val="00A5373E"/>
    <w:rsid w:val="00A5399D"/>
    <w:rsid w:val="00A53D35"/>
    <w:rsid w:val="00A53D9A"/>
    <w:rsid w:val="00A541B3"/>
    <w:rsid w:val="00A54AD0"/>
    <w:rsid w:val="00A54B16"/>
    <w:rsid w:val="00A562DC"/>
    <w:rsid w:val="00A61E72"/>
    <w:rsid w:val="00A63DC6"/>
    <w:rsid w:val="00A63E48"/>
    <w:rsid w:val="00A64879"/>
    <w:rsid w:val="00A651E4"/>
    <w:rsid w:val="00A70EC3"/>
    <w:rsid w:val="00A71088"/>
    <w:rsid w:val="00A72985"/>
    <w:rsid w:val="00A74C0B"/>
    <w:rsid w:val="00A7570D"/>
    <w:rsid w:val="00A761A1"/>
    <w:rsid w:val="00A7629E"/>
    <w:rsid w:val="00A769B2"/>
    <w:rsid w:val="00A76D38"/>
    <w:rsid w:val="00A8065D"/>
    <w:rsid w:val="00A81C91"/>
    <w:rsid w:val="00A820FE"/>
    <w:rsid w:val="00A826B0"/>
    <w:rsid w:val="00A8285E"/>
    <w:rsid w:val="00A842E7"/>
    <w:rsid w:val="00A8431A"/>
    <w:rsid w:val="00A846D7"/>
    <w:rsid w:val="00A86E50"/>
    <w:rsid w:val="00A8786C"/>
    <w:rsid w:val="00A9018D"/>
    <w:rsid w:val="00A903CE"/>
    <w:rsid w:val="00A90889"/>
    <w:rsid w:val="00A90E33"/>
    <w:rsid w:val="00A911A9"/>
    <w:rsid w:val="00A928B4"/>
    <w:rsid w:val="00A92DD0"/>
    <w:rsid w:val="00A9362B"/>
    <w:rsid w:val="00A9372C"/>
    <w:rsid w:val="00A95D28"/>
    <w:rsid w:val="00A973B2"/>
    <w:rsid w:val="00A976A9"/>
    <w:rsid w:val="00A97718"/>
    <w:rsid w:val="00A97745"/>
    <w:rsid w:val="00AA27F1"/>
    <w:rsid w:val="00AA28B4"/>
    <w:rsid w:val="00AA2C30"/>
    <w:rsid w:val="00AA2C65"/>
    <w:rsid w:val="00AA31CB"/>
    <w:rsid w:val="00AA330B"/>
    <w:rsid w:val="00AA431D"/>
    <w:rsid w:val="00AA48D3"/>
    <w:rsid w:val="00AA6A63"/>
    <w:rsid w:val="00AB14E9"/>
    <w:rsid w:val="00AB3269"/>
    <w:rsid w:val="00AB332A"/>
    <w:rsid w:val="00AB34FE"/>
    <w:rsid w:val="00AB390D"/>
    <w:rsid w:val="00AB70B2"/>
    <w:rsid w:val="00AB78DB"/>
    <w:rsid w:val="00AC4A74"/>
    <w:rsid w:val="00AC4C21"/>
    <w:rsid w:val="00AC53DA"/>
    <w:rsid w:val="00AC6284"/>
    <w:rsid w:val="00AC74FD"/>
    <w:rsid w:val="00AC7948"/>
    <w:rsid w:val="00AD0018"/>
    <w:rsid w:val="00AD0AD4"/>
    <w:rsid w:val="00AD236B"/>
    <w:rsid w:val="00AD3AE1"/>
    <w:rsid w:val="00AD401A"/>
    <w:rsid w:val="00AD54A6"/>
    <w:rsid w:val="00AD59AC"/>
    <w:rsid w:val="00AD72C9"/>
    <w:rsid w:val="00AD737E"/>
    <w:rsid w:val="00AD7FF5"/>
    <w:rsid w:val="00AE03C6"/>
    <w:rsid w:val="00AE0AED"/>
    <w:rsid w:val="00AE201B"/>
    <w:rsid w:val="00AE20A7"/>
    <w:rsid w:val="00AE364A"/>
    <w:rsid w:val="00AE3C23"/>
    <w:rsid w:val="00AE6522"/>
    <w:rsid w:val="00AE7BC2"/>
    <w:rsid w:val="00AF001B"/>
    <w:rsid w:val="00AF04AF"/>
    <w:rsid w:val="00AF0531"/>
    <w:rsid w:val="00AF25E5"/>
    <w:rsid w:val="00AF3F8D"/>
    <w:rsid w:val="00AF5271"/>
    <w:rsid w:val="00AF5DF8"/>
    <w:rsid w:val="00AF67C2"/>
    <w:rsid w:val="00AF7BCF"/>
    <w:rsid w:val="00B00197"/>
    <w:rsid w:val="00B01310"/>
    <w:rsid w:val="00B0168D"/>
    <w:rsid w:val="00B026BA"/>
    <w:rsid w:val="00B03B78"/>
    <w:rsid w:val="00B04062"/>
    <w:rsid w:val="00B05110"/>
    <w:rsid w:val="00B0525C"/>
    <w:rsid w:val="00B05BC7"/>
    <w:rsid w:val="00B062B1"/>
    <w:rsid w:val="00B0649B"/>
    <w:rsid w:val="00B11EFA"/>
    <w:rsid w:val="00B1393D"/>
    <w:rsid w:val="00B14812"/>
    <w:rsid w:val="00B14C18"/>
    <w:rsid w:val="00B16FD8"/>
    <w:rsid w:val="00B17BF4"/>
    <w:rsid w:val="00B2114F"/>
    <w:rsid w:val="00B21686"/>
    <w:rsid w:val="00B21B0A"/>
    <w:rsid w:val="00B21D6B"/>
    <w:rsid w:val="00B2232D"/>
    <w:rsid w:val="00B23874"/>
    <w:rsid w:val="00B24C66"/>
    <w:rsid w:val="00B251C6"/>
    <w:rsid w:val="00B25482"/>
    <w:rsid w:val="00B2788F"/>
    <w:rsid w:val="00B27B40"/>
    <w:rsid w:val="00B3008B"/>
    <w:rsid w:val="00B3175F"/>
    <w:rsid w:val="00B3203C"/>
    <w:rsid w:val="00B331A9"/>
    <w:rsid w:val="00B33D7E"/>
    <w:rsid w:val="00B36B92"/>
    <w:rsid w:val="00B3748B"/>
    <w:rsid w:val="00B376E0"/>
    <w:rsid w:val="00B3782F"/>
    <w:rsid w:val="00B37A87"/>
    <w:rsid w:val="00B4027D"/>
    <w:rsid w:val="00B40765"/>
    <w:rsid w:val="00B4300D"/>
    <w:rsid w:val="00B44B73"/>
    <w:rsid w:val="00B44B84"/>
    <w:rsid w:val="00B4576A"/>
    <w:rsid w:val="00B45D20"/>
    <w:rsid w:val="00B46525"/>
    <w:rsid w:val="00B47715"/>
    <w:rsid w:val="00B47B2F"/>
    <w:rsid w:val="00B47EBA"/>
    <w:rsid w:val="00B5164C"/>
    <w:rsid w:val="00B51BCC"/>
    <w:rsid w:val="00B529BB"/>
    <w:rsid w:val="00B539F8"/>
    <w:rsid w:val="00B555AC"/>
    <w:rsid w:val="00B55998"/>
    <w:rsid w:val="00B55CDD"/>
    <w:rsid w:val="00B60FFC"/>
    <w:rsid w:val="00B61C28"/>
    <w:rsid w:val="00B62372"/>
    <w:rsid w:val="00B62477"/>
    <w:rsid w:val="00B63082"/>
    <w:rsid w:val="00B63CDA"/>
    <w:rsid w:val="00B64215"/>
    <w:rsid w:val="00B6619D"/>
    <w:rsid w:val="00B6670E"/>
    <w:rsid w:val="00B67697"/>
    <w:rsid w:val="00B71476"/>
    <w:rsid w:val="00B73758"/>
    <w:rsid w:val="00B74B1B"/>
    <w:rsid w:val="00B760C5"/>
    <w:rsid w:val="00B7691F"/>
    <w:rsid w:val="00B7708D"/>
    <w:rsid w:val="00B77AFB"/>
    <w:rsid w:val="00B802B4"/>
    <w:rsid w:val="00B813A4"/>
    <w:rsid w:val="00B815EC"/>
    <w:rsid w:val="00B8254F"/>
    <w:rsid w:val="00B835FB"/>
    <w:rsid w:val="00B838D6"/>
    <w:rsid w:val="00B83F67"/>
    <w:rsid w:val="00B8461C"/>
    <w:rsid w:val="00B862D3"/>
    <w:rsid w:val="00B91739"/>
    <w:rsid w:val="00B91771"/>
    <w:rsid w:val="00B91984"/>
    <w:rsid w:val="00B91A41"/>
    <w:rsid w:val="00B93720"/>
    <w:rsid w:val="00B93AF9"/>
    <w:rsid w:val="00B93CBF"/>
    <w:rsid w:val="00B947C2"/>
    <w:rsid w:val="00B95424"/>
    <w:rsid w:val="00B95EE2"/>
    <w:rsid w:val="00B97385"/>
    <w:rsid w:val="00B978E5"/>
    <w:rsid w:val="00B97AE6"/>
    <w:rsid w:val="00B97E0D"/>
    <w:rsid w:val="00BA0FA8"/>
    <w:rsid w:val="00BA16C2"/>
    <w:rsid w:val="00BA1F28"/>
    <w:rsid w:val="00BA2E5B"/>
    <w:rsid w:val="00BA3258"/>
    <w:rsid w:val="00BA3692"/>
    <w:rsid w:val="00BA43C1"/>
    <w:rsid w:val="00BA4BAE"/>
    <w:rsid w:val="00BA50A3"/>
    <w:rsid w:val="00BA687D"/>
    <w:rsid w:val="00BA6901"/>
    <w:rsid w:val="00BB0796"/>
    <w:rsid w:val="00BB2A5F"/>
    <w:rsid w:val="00BB2C6D"/>
    <w:rsid w:val="00BB4020"/>
    <w:rsid w:val="00BB4609"/>
    <w:rsid w:val="00BB4862"/>
    <w:rsid w:val="00BB4A28"/>
    <w:rsid w:val="00BB4EDE"/>
    <w:rsid w:val="00BB5BD4"/>
    <w:rsid w:val="00BB5C51"/>
    <w:rsid w:val="00BB5F9D"/>
    <w:rsid w:val="00BB7DBA"/>
    <w:rsid w:val="00BC05E8"/>
    <w:rsid w:val="00BC3313"/>
    <w:rsid w:val="00BC3C4B"/>
    <w:rsid w:val="00BC3E62"/>
    <w:rsid w:val="00BC4DF7"/>
    <w:rsid w:val="00BC598D"/>
    <w:rsid w:val="00BC7AF7"/>
    <w:rsid w:val="00BC7FE9"/>
    <w:rsid w:val="00BD0CBA"/>
    <w:rsid w:val="00BD0D08"/>
    <w:rsid w:val="00BD0F62"/>
    <w:rsid w:val="00BD128C"/>
    <w:rsid w:val="00BD23F0"/>
    <w:rsid w:val="00BD3186"/>
    <w:rsid w:val="00BD41D3"/>
    <w:rsid w:val="00BD4369"/>
    <w:rsid w:val="00BD7FE9"/>
    <w:rsid w:val="00BE0283"/>
    <w:rsid w:val="00BE057A"/>
    <w:rsid w:val="00BE06DC"/>
    <w:rsid w:val="00BE0E0D"/>
    <w:rsid w:val="00BE0E15"/>
    <w:rsid w:val="00BE133C"/>
    <w:rsid w:val="00BE2220"/>
    <w:rsid w:val="00BE2620"/>
    <w:rsid w:val="00BE2CA7"/>
    <w:rsid w:val="00BE2D0D"/>
    <w:rsid w:val="00BE4055"/>
    <w:rsid w:val="00BE4CA7"/>
    <w:rsid w:val="00BE5C47"/>
    <w:rsid w:val="00BE7350"/>
    <w:rsid w:val="00BF05E9"/>
    <w:rsid w:val="00BF0B40"/>
    <w:rsid w:val="00BF21FF"/>
    <w:rsid w:val="00BF3568"/>
    <w:rsid w:val="00BF475A"/>
    <w:rsid w:val="00BF578E"/>
    <w:rsid w:val="00BF60C6"/>
    <w:rsid w:val="00BF72CF"/>
    <w:rsid w:val="00BF7BFB"/>
    <w:rsid w:val="00BF7D8E"/>
    <w:rsid w:val="00C0032C"/>
    <w:rsid w:val="00C00785"/>
    <w:rsid w:val="00C00870"/>
    <w:rsid w:val="00C00BE2"/>
    <w:rsid w:val="00C01478"/>
    <w:rsid w:val="00C01ADD"/>
    <w:rsid w:val="00C023A6"/>
    <w:rsid w:val="00C027D3"/>
    <w:rsid w:val="00C04EC0"/>
    <w:rsid w:val="00C051C0"/>
    <w:rsid w:val="00C05D95"/>
    <w:rsid w:val="00C06516"/>
    <w:rsid w:val="00C06854"/>
    <w:rsid w:val="00C069C8"/>
    <w:rsid w:val="00C1032E"/>
    <w:rsid w:val="00C10AD5"/>
    <w:rsid w:val="00C10EAC"/>
    <w:rsid w:val="00C1142C"/>
    <w:rsid w:val="00C11AE3"/>
    <w:rsid w:val="00C11C41"/>
    <w:rsid w:val="00C140B4"/>
    <w:rsid w:val="00C17ABB"/>
    <w:rsid w:val="00C17D98"/>
    <w:rsid w:val="00C21376"/>
    <w:rsid w:val="00C21E87"/>
    <w:rsid w:val="00C22DB3"/>
    <w:rsid w:val="00C242CB"/>
    <w:rsid w:val="00C24561"/>
    <w:rsid w:val="00C24E8E"/>
    <w:rsid w:val="00C25BE9"/>
    <w:rsid w:val="00C268FE"/>
    <w:rsid w:val="00C2738D"/>
    <w:rsid w:val="00C276D3"/>
    <w:rsid w:val="00C30840"/>
    <w:rsid w:val="00C30876"/>
    <w:rsid w:val="00C30AFC"/>
    <w:rsid w:val="00C30E9B"/>
    <w:rsid w:val="00C31D2C"/>
    <w:rsid w:val="00C331EA"/>
    <w:rsid w:val="00C3412D"/>
    <w:rsid w:val="00C36640"/>
    <w:rsid w:val="00C368F6"/>
    <w:rsid w:val="00C37B3B"/>
    <w:rsid w:val="00C41596"/>
    <w:rsid w:val="00C416F7"/>
    <w:rsid w:val="00C4186A"/>
    <w:rsid w:val="00C4255D"/>
    <w:rsid w:val="00C4457C"/>
    <w:rsid w:val="00C44E3F"/>
    <w:rsid w:val="00C4593F"/>
    <w:rsid w:val="00C46493"/>
    <w:rsid w:val="00C47027"/>
    <w:rsid w:val="00C477CD"/>
    <w:rsid w:val="00C51AE2"/>
    <w:rsid w:val="00C5224F"/>
    <w:rsid w:val="00C564EC"/>
    <w:rsid w:val="00C57929"/>
    <w:rsid w:val="00C638EB"/>
    <w:rsid w:val="00C63A19"/>
    <w:rsid w:val="00C63CDB"/>
    <w:rsid w:val="00C63EAC"/>
    <w:rsid w:val="00C64DDA"/>
    <w:rsid w:val="00C65BD8"/>
    <w:rsid w:val="00C663B8"/>
    <w:rsid w:val="00C71B0E"/>
    <w:rsid w:val="00C72989"/>
    <w:rsid w:val="00C7321E"/>
    <w:rsid w:val="00C74881"/>
    <w:rsid w:val="00C76848"/>
    <w:rsid w:val="00C76B00"/>
    <w:rsid w:val="00C77507"/>
    <w:rsid w:val="00C77879"/>
    <w:rsid w:val="00C8008B"/>
    <w:rsid w:val="00C80AF1"/>
    <w:rsid w:val="00C80D19"/>
    <w:rsid w:val="00C81922"/>
    <w:rsid w:val="00C834EB"/>
    <w:rsid w:val="00C8354D"/>
    <w:rsid w:val="00C83B4B"/>
    <w:rsid w:val="00C83B73"/>
    <w:rsid w:val="00C83BA4"/>
    <w:rsid w:val="00C845DF"/>
    <w:rsid w:val="00C85B42"/>
    <w:rsid w:val="00C8640F"/>
    <w:rsid w:val="00C867D9"/>
    <w:rsid w:val="00C86A2C"/>
    <w:rsid w:val="00C87E39"/>
    <w:rsid w:val="00C90AB5"/>
    <w:rsid w:val="00C91011"/>
    <w:rsid w:val="00C927D8"/>
    <w:rsid w:val="00C936BA"/>
    <w:rsid w:val="00C94E93"/>
    <w:rsid w:val="00C958E3"/>
    <w:rsid w:val="00C967AE"/>
    <w:rsid w:val="00C977D3"/>
    <w:rsid w:val="00CA035F"/>
    <w:rsid w:val="00CA056B"/>
    <w:rsid w:val="00CA11C3"/>
    <w:rsid w:val="00CA1C83"/>
    <w:rsid w:val="00CA2944"/>
    <w:rsid w:val="00CA2E8D"/>
    <w:rsid w:val="00CA3093"/>
    <w:rsid w:val="00CA3358"/>
    <w:rsid w:val="00CA3DD5"/>
    <w:rsid w:val="00CA52C7"/>
    <w:rsid w:val="00CA545F"/>
    <w:rsid w:val="00CA7023"/>
    <w:rsid w:val="00CA7945"/>
    <w:rsid w:val="00CB09CA"/>
    <w:rsid w:val="00CB100C"/>
    <w:rsid w:val="00CB1F61"/>
    <w:rsid w:val="00CB291C"/>
    <w:rsid w:val="00CB54A3"/>
    <w:rsid w:val="00CB5BFA"/>
    <w:rsid w:val="00CB646D"/>
    <w:rsid w:val="00CB7D16"/>
    <w:rsid w:val="00CC09B3"/>
    <w:rsid w:val="00CC0E83"/>
    <w:rsid w:val="00CC37AD"/>
    <w:rsid w:val="00CC42C7"/>
    <w:rsid w:val="00CC6DEC"/>
    <w:rsid w:val="00CC6FF6"/>
    <w:rsid w:val="00CC721A"/>
    <w:rsid w:val="00CD112A"/>
    <w:rsid w:val="00CD3A44"/>
    <w:rsid w:val="00CD4372"/>
    <w:rsid w:val="00CD5EA4"/>
    <w:rsid w:val="00CE04B6"/>
    <w:rsid w:val="00CE061D"/>
    <w:rsid w:val="00CE0DC3"/>
    <w:rsid w:val="00CE29DB"/>
    <w:rsid w:val="00CE469D"/>
    <w:rsid w:val="00CE542C"/>
    <w:rsid w:val="00CE57E7"/>
    <w:rsid w:val="00CE6573"/>
    <w:rsid w:val="00CE6CD6"/>
    <w:rsid w:val="00CF0084"/>
    <w:rsid w:val="00CF11B2"/>
    <w:rsid w:val="00CF2A38"/>
    <w:rsid w:val="00CF4E12"/>
    <w:rsid w:val="00CF6A55"/>
    <w:rsid w:val="00CF72C7"/>
    <w:rsid w:val="00D00D75"/>
    <w:rsid w:val="00D02769"/>
    <w:rsid w:val="00D0402B"/>
    <w:rsid w:val="00D0413B"/>
    <w:rsid w:val="00D056E8"/>
    <w:rsid w:val="00D05BD6"/>
    <w:rsid w:val="00D05D28"/>
    <w:rsid w:val="00D069A2"/>
    <w:rsid w:val="00D11A29"/>
    <w:rsid w:val="00D12A90"/>
    <w:rsid w:val="00D157B2"/>
    <w:rsid w:val="00D1604A"/>
    <w:rsid w:val="00D1632E"/>
    <w:rsid w:val="00D16665"/>
    <w:rsid w:val="00D16838"/>
    <w:rsid w:val="00D17CE4"/>
    <w:rsid w:val="00D205F5"/>
    <w:rsid w:val="00D21113"/>
    <w:rsid w:val="00D21536"/>
    <w:rsid w:val="00D223BB"/>
    <w:rsid w:val="00D225F3"/>
    <w:rsid w:val="00D232A8"/>
    <w:rsid w:val="00D23CC6"/>
    <w:rsid w:val="00D23DD0"/>
    <w:rsid w:val="00D251F7"/>
    <w:rsid w:val="00D25CCD"/>
    <w:rsid w:val="00D260C2"/>
    <w:rsid w:val="00D261DF"/>
    <w:rsid w:val="00D26CB0"/>
    <w:rsid w:val="00D302DE"/>
    <w:rsid w:val="00D336E0"/>
    <w:rsid w:val="00D34B89"/>
    <w:rsid w:val="00D375AE"/>
    <w:rsid w:val="00D42D43"/>
    <w:rsid w:val="00D42E28"/>
    <w:rsid w:val="00D45923"/>
    <w:rsid w:val="00D45CF8"/>
    <w:rsid w:val="00D45DEA"/>
    <w:rsid w:val="00D460AF"/>
    <w:rsid w:val="00D463BB"/>
    <w:rsid w:val="00D508B4"/>
    <w:rsid w:val="00D50AA6"/>
    <w:rsid w:val="00D50AEF"/>
    <w:rsid w:val="00D50DBF"/>
    <w:rsid w:val="00D5189A"/>
    <w:rsid w:val="00D522B7"/>
    <w:rsid w:val="00D5268E"/>
    <w:rsid w:val="00D552C8"/>
    <w:rsid w:val="00D56D98"/>
    <w:rsid w:val="00D5751C"/>
    <w:rsid w:val="00D6154C"/>
    <w:rsid w:val="00D61622"/>
    <w:rsid w:val="00D62A6F"/>
    <w:rsid w:val="00D62B8C"/>
    <w:rsid w:val="00D62F7F"/>
    <w:rsid w:val="00D63605"/>
    <w:rsid w:val="00D64377"/>
    <w:rsid w:val="00D653B2"/>
    <w:rsid w:val="00D65CE9"/>
    <w:rsid w:val="00D66E61"/>
    <w:rsid w:val="00D672AA"/>
    <w:rsid w:val="00D675FF"/>
    <w:rsid w:val="00D67A68"/>
    <w:rsid w:val="00D7052B"/>
    <w:rsid w:val="00D71077"/>
    <w:rsid w:val="00D7131A"/>
    <w:rsid w:val="00D71E13"/>
    <w:rsid w:val="00D72FC8"/>
    <w:rsid w:val="00D74189"/>
    <w:rsid w:val="00D74708"/>
    <w:rsid w:val="00D7560E"/>
    <w:rsid w:val="00D75F8B"/>
    <w:rsid w:val="00D767AE"/>
    <w:rsid w:val="00D76BBF"/>
    <w:rsid w:val="00D76CA9"/>
    <w:rsid w:val="00D76DCC"/>
    <w:rsid w:val="00D7752C"/>
    <w:rsid w:val="00D77AD6"/>
    <w:rsid w:val="00D80997"/>
    <w:rsid w:val="00D81D5B"/>
    <w:rsid w:val="00D8350A"/>
    <w:rsid w:val="00D869A4"/>
    <w:rsid w:val="00D869AE"/>
    <w:rsid w:val="00D86EA7"/>
    <w:rsid w:val="00D87073"/>
    <w:rsid w:val="00D876B8"/>
    <w:rsid w:val="00D9286A"/>
    <w:rsid w:val="00D93205"/>
    <w:rsid w:val="00D94B86"/>
    <w:rsid w:val="00D9520D"/>
    <w:rsid w:val="00D964E0"/>
    <w:rsid w:val="00D971C9"/>
    <w:rsid w:val="00D97860"/>
    <w:rsid w:val="00D97FEE"/>
    <w:rsid w:val="00DA0B09"/>
    <w:rsid w:val="00DA0C45"/>
    <w:rsid w:val="00DA1961"/>
    <w:rsid w:val="00DA24AC"/>
    <w:rsid w:val="00DA2C6F"/>
    <w:rsid w:val="00DA2D5C"/>
    <w:rsid w:val="00DA3A65"/>
    <w:rsid w:val="00DA6E7B"/>
    <w:rsid w:val="00DB1B81"/>
    <w:rsid w:val="00DB20C8"/>
    <w:rsid w:val="00DB228C"/>
    <w:rsid w:val="00DB242D"/>
    <w:rsid w:val="00DB462A"/>
    <w:rsid w:val="00DB4BD3"/>
    <w:rsid w:val="00DB6012"/>
    <w:rsid w:val="00DB63B0"/>
    <w:rsid w:val="00DB6656"/>
    <w:rsid w:val="00DB66AC"/>
    <w:rsid w:val="00DB7948"/>
    <w:rsid w:val="00DC14B0"/>
    <w:rsid w:val="00DC1AD3"/>
    <w:rsid w:val="00DC1B6B"/>
    <w:rsid w:val="00DC38BF"/>
    <w:rsid w:val="00DC5075"/>
    <w:rsid w:val="00DC6564"/>
    <w:rsid w:val="00DC6707"/>
    <w:rsid w:val="00DC7813"/>
    <w:rsid w:val="00DC7CAD"/>
    <w:rsid w:val="00DC7E82"/>
    <w:rsid w:val="00DD0447"/>
    <w:rsid w:val="00DD0595"/>
    <w:rsid w:val="00DD4E82"/>
    <w:rsid w:val="00DD63C7"/>
    <w:rsid w:val="00DD7C7F"/>
    <w:rsid w:val="00DD7E02"/>
    <w:rsid w:val="00DE041C"/>
    <w:rsid w:val="00DE0765"/>
    <w:rsid w:val="00DE07E7"/>
    <w:rsid w:val="00DE085C"/>
    <w:rsid w:val="00DE1E4B"/>
    <w:rsid w:val="00DE2323"/>
    <w:rsid w:val="00DE27A2"/>
    <w:rsid w:val="00DE377B"/>
    <w:rsid w:val="00DE5097"/>
    <w:rsid w:val="00DE76D6"/>
    <w:rsid w:val="00DE7B24"/>
    <w:rsid w:val="00DF0CD6"/>
    <w:rsid w:val="00DF0CD8"/>
    <w:rsid w:val="00DF12C2"/>
    <w:rsid w:val="00DF189A"/>
    <w:rsid w:val="00DF3187"/>
    <w:rsid w:val="00DF3694"/>
    <w:rsid w:val="00DF57AF"/>
    <w:rsid w:val="00DF5902"/>
    <w:rsid w:val="00DF5D85"/>
    <w:rsid w:val="00DF673A"/>
    <w:rsid w:val="00DF679D"/>
    <w:rsid w:val="00DF6A90"/>
    <w:rsid w:val="00DF7402"/>
    <w:rsid w:val="00E0223C"/>
    <w:rsid w:val="00E024C9"/>
    <w:rsid w:val="00E04684"/>
    <w:rsid w:val="00E05AC7"/>
    <w:rsid w:val="00E0653E"/>
    <w:rsid w:val="00E06CDA"/>
    <w:rsid w:val="00E112A6"/>
    <w:rsid w:val="00E12219"/>
    <w:rsid w:val="00E1243B"/>
    <w:rsid w:val="00E14114"/>
    <w:rsid w:val="00E14298"/>
    <w:rsid w:val="00E144BE"/>
    <w:rsid w:val="00E1545D"/>
    <w:rsid w:val="00E15DD8"/>
    <w:rsid w:val="00E16350"/>
    <w:rsid w:val="00E16A52"/>
    <w:rsid w:val="00E16CB6"/>
    <w:rsid w:val="00E16E12"/>
    <w:rsid w:val="00E17BBC"/>
    <w:rsid w:val="00E20EC6"/>
    <w:rsid w:val="00E21D70"/>
    <w:rsid w:val="00E2357C"/>
    <w:rsid w:val="00E2440D"/>
    <w:rsid w:val="00E25F15"/>
    <w:rsid w:val="00E276C7"/>
    <w:rsid w:val="00E31226"/>
    <w:rsid w:val="00E31685"/>
    <w:rsid w:val="00E3212A"/>
    <w:rsid w:val="00E32CF3"/>
    <w:rsid w:val="00E34247"/>
    <w:rsid w:val="00E34803"/>
    <w:rsid w:val="00E35141"/>
    <w:rsid w:val="00E35158"/>
    <w:rsid w:val="00E355CC"/>
    <w:rsid w:val="00E35E86"/>
    <w:rsid w:val="00E36356"/>
    <w:rsid w:val="00E412C2"/>
    <w:rsid w:val="00E4191B"/>
    <w:rsid w:val="00E41C57"/>
    <w:rsid w:val="00E425C5"/>
    <w:rsid w:val="00E44283"/>
    <w:rsid w:val="00E44897"/>
    <w:rsid w:val="00E44C9A"/>
    <w:rsid w:val="00E46DEC"/>
    <w:rsid w:val="00E47926"/>
    <w:rsid w:val="00E50286"/>
    <w:rsid w:val="00E503C0"/>
    <w:rsid w:val="00E51777"/>
    <w:rsid w:val="00E52634"/>
    <w:rsid w:val="00E526D1"/>
    <w:rsid w:val="00E53A6C"/>
    <w:rsid w:val="00E552E2"/>
    <w:rsid w:val="00E55388"/>
    <w:rsid w:val="00E554E8"/>
    <w:rsid w:val="00E55544"/>
    <w:rsid w:val="00E55A1A"/>
    <w:rsid w:val="00E55FA6"/>
    <w:rsid w:val="00E561A3"/>
    <w:rsid w:val="00E57067"/>
    <w:rsid w:val="00E60434"/>
    <w:rsid w:val="00E61408"/>
    <w:rsid w:val="00E6235D"/>
    <w:rsid w:val="00E623F5"/>
    <w:rsid w:val="00E6286F"/>
    <w:rsid w:val="00E62D41"/>
    <w:rsid w:val="00E64EA4"/>
    <w:rsid w:val="00E657E3"/>
    <w:rsid w:val="00E65D16"/>
    <w:rsid w:val="00E66212"/>
    <w:rsid w:val="00E66B39"/>
    <w:rsid w:val="00E672B8"/>
    <w:rsid w:val="00E6761F"/>
    <w:rsid w:val="00E709C7"/>
    <w:rsid w:val="00E715A0"/>
    <w:rsid w:val="00E71927"/>
    <w:rsid w:val="00E71C82"/>
    <w:rsid w:val="00E74B8D"/>
    <w:rsid w:val="00E74DA5"/>
    <w:rsid w:val="00E75643"/>
    <w:rsid w:val="00E77895"/>
    <w:rsid w:val="00E81C3B"/>
    <w:rsid w:val="00E81F8B"/>
    <w:rsid w:val="00E8397F"/>
    <w:rsid w:val="00E84AB5"/>
    <w:rsid w:val="00E8502C"/>
    <w:rsid w:val="00E8527F"/>
    <w:rsid w:val="00E86676"/>
    <w:rsid w:val="00E91E95"/>
    <w:rsid w:val="00E93A2B"/>
    <w:rsid w:val="00E940D9"/>
    <w:rsid w:val="00E94140"/>
    <w:rsid w:val="00E947F4"/>
    <w:rsid w:val="00E94FCC"/>
    <w:rsid w:val="00E95160"/>
    <w:rsid w:val="00E97911"/>
    <w:rsid w:val="00EA090F"/>
    <w:rsid w:val="00EA0E60"/>
    <w:rsid w:val="00EA240A"/>
    <w:rsid w:val="00EA2C91"/>
    <w:rsid w:val="00EA3D59"/>
    <w:rsid w:val="00EA3D8E"/>
    <w:rsid w:val="00EA3EDA"/>
    <w:rsid w:val="00EA44E1"/>
    <w:rsid w:val="00EA5644"/>
    <w:rsid w:val="00EA6176"/>
    <w:rsid w:val="00EA6588"/>
    <w:rsid w:val="00EA6593"/>
    <w:rsid w:val="00EA755B"/>
    <w:rsid w:val="00EB056E"/>
    <w:rsid w:val="00EB0AC7"/>
    <w:rsid w:val="00EB0E6B"/>
    <w:rsid w:val="00EB1938"/>
    <w:rsid w:val="00EB1B49"/>
    <w:rsid w:val="00EB3D42"/>
    <w:rsid w:val="00EB5A31"/>
    <w:rsid w:val="00EB5A6F"/>
    <w:rsid w:val="00EB63B4"/>
    <w:rsid w:val="00EB66F6"/>
    <w:rsid w:val="00EB6A6B"/>
    <w:rsid w:val="00EC1A2F"/>
    <w:rsid w:val="00EC27B2"/>
    <w:rsid w:val="00EC3007"/>
    <w:rsid w:val="00EC4AAA"/>
    <w:rsid w:val="00EC5825"/>
    <w:rsid w:val="00ED0554"/>
    <w:rsid w:val="00ED16A8"/>
    <w:rsid w:val="00ED16BB"/>
    <w:rsid w:val="00ED28DB"/>
    <w:rsid w:val="00ED2BA9"/>
    <w:rsid w:val="00ED3098"/>
    <w:rsid w:val="00ED3C91"/>
    <w:rsid w:val="00ED3E9F"/>
    <w:rsid w:val="00ED5E4E"/>
    <w:rsid w:val="00ED6614"/>
    <w:rsid w:val="00ED7761"/>
    <w:rsid w:val="00EE02E8"/>
    <w:rsid w:val="00EE0305"/>
    <w:rsid w:val="00EE1EC2"/>
    <w:rsid w:val="00EE28D7"/>
    <w:rsid w:val="00EE2F85"/>
    <w:rsid w:val="00EE33F6"/>
    <w:rsid w:val="00EE5246"/>
    <w:rsid w:val="00EE5487"/>
    <w:rsid w:val="00EE555A"/>
    <w:rsid w:val="00EE5FB3"/>
    <w:rsid w:val="00EE6F69"/>
    <w:rsid w:val="00EF02EF"/>
    <w:rsid w:val="00EF0E67"/>
    <w:rsid w:val="00EF1185"/>
    <w:rsid w:val="00EF4074"/>
    <w:rsid w:val="00EF4985"/>
    <w:rsid w:val="00EF4FB9"/>
    <w:rsid w:val="00EF51DC"/>
    <w:rsid w:val="00EF5C92"/>
    <w:rsid w:val="00EF5E26"/>
    <w:rsid w:val="00EF66E0"/>
    <w:rsid w:val="00F0066C"/>
    <w:rsid w:val="00F00856"/>
    <w:rsid w:val="00F01ECD"/>
    <w:rsid w:val="00F02F97"/>
    <w:rsid w:val="00F0318F"/>
    <w:rsid w:val="00F04255"/>
    <w:rsid w:val="00F0462B"/>
    <w:rsid w:val="00F05410"/>
    <w:rsid w:val="00F05A19"/>
    <w:rsid w:val="00F05DC3"/>
    <w:rsid w:val="00F06874"/>
    <w:rsid w:val="00F0714E"/>
    <w:rsid w:val="00F076BF"/>
    <w:rsid w:val="00F1090D"/>
    <w:rsid w:val="00F10968"/>
    <w:rsid w:val="00F10B89"/>
    <w:rsid w:val="00F10F40"/>
    <w:rsid w:val="00F11A7F"/>
    <w:rsid w:val="00F121C9"/>
    <w:rsid w:val="00F13B04"/>
    <w:rsid w:val="00F1504D"/>
    <w:rsid w:val="00F150F4"/>
    <w:rsid w:val="00F1696B"/>
    <w:rsid w:val="00F22362"/>
    <w:rsid w:val="00F223D6"/>
    <w:rsid w:val="00F22D4C"/>
    <w:rsid w:val="00F2381C"/>
    <w:rsid w:val="00F23BB3"/>
    <w:rsid w:val="00F23F31"/>
    <w:rsid w:val="00F2416C"/>
    <w:rsid w:val="00F247A9"/>
    <w:rsid w:val="00F25286"/>
    <w:rsid w:val="00F25487"/>
    <w:rsid w:val="00F25A29"/>
    <w:rsid w:val="00F25C75"/>
    <w:rsid w:val="00F3032D"/>
    <w:rsid w:val="00F31178"/>
    <w:rsid w:val="00F320C2"/>
    <w:rsid w:val="00F33A3D"/>
    <w:rsid w:val="00F3453E"/>
    <w:rsid w:val="00F36180"/>
    <w:rsid w:val="00F36678"/>
    <w:rsid w:val="00F372D0"/>
    <w:rsid w:val="00F3796D"/>
    <w:rsid w:val="00F37EA3"/>
    <w:rsid w:val="00F405C2"/>
    <w:rsid w:val="00F414FF"/>
    <w:rsid w:val="00F4211E"/>
    <w:rsid w:val="00F430C8"/>
    <w:rsid w:val="00F43C47"/>
    <w:rsid w:val="00F445B2"/>
    <w:rsid w:val="00F4546B"/>
    <w:rsid w:val="00F4550C"/>
    <w:rsid w:val="00F45591"/>
    <w:rsid w:val="00F52646"/>
    <w:rsid w:val="00F52BC8"/>
    <w:rsid w:val="00F5307C"/>
    <w:rsid w:val="00F53599"/>
    <w:rsid w:val="00F55E8B"/>
    <w:rsid w:val="00F57392"/>
    <w:rsid w:val="00F57AAF"/>
    <w:rsid w:val="00F60D73"/>
    <w:rsid w:val="00F61575"/>
    <w:rsid w:val="00F616E3"/>
    <w:rsid w:val="00F628CD"/>
    <w:rsid w:val="00F62E47"/>
    <w:rsid w:val="00F64435"/>
    <w:rsid w:val="00F64444"/>
    <w:rsid w:val="00F64DE8"/>
    <w:rsid w:val="00F6597B"/>
    <w:rsid w:val="00F6622B"/>
    <w:rsid w:val="00F67561"/>
    <w:rsid w:val="00F67EEF"/>
    <w:rsid w:val="00F7041A"/>
    <w:rsid w:val="00F70E67"/>
    <w:rsid w:val="00F720C9"/>
    <w:rsid w:val="00F72EAC"/>
    <w:rsid w:val="00F739C0"/>
    <w:rsid w:val="00F75753"/>
    <w:rsid w:val="00F75E31"/>
    <w:rsid w:val="00F76940"/>
    <w:rsid w:val="00F76AF7"/>
    <w:rsid w:val="00F778D1"/>
    <w:rsid w:val="00F81A57"/>
    <w:rsid w:val="00F8280D"/>
    <w:rsid w:val="00F82AC0"/>
    <w:rsid w:val="00F836BF"/>
    <w:rsid w:val="00F85522"/>
    <w:rsid w:val="00F86493"/>
    <w:rsid w:val="00F87051"/>
    <w:rsid w:val="00F877ED"/>
    <w:rsid w:val="00F913E7"/>
    <w:rsid w:val="00F9172F"/>
    <w:rsid w:val="00F93D41"/>
    <w:rsid w:val="00F95043"/>
    <w:rsid w:val="00F96214"/>
    <w:rsid w:val="00F96B77"/>
    <w:rsid w:val="00F97E84"/>
    <w:rsid w:val="00FA129C"/>
    <w:rsid w:val="00FA2B4D"/>
    <w:rsid w:val="00FA3AC6"/>
    <w:rsid w:val="00FA4047"/>
    <w:rsid w:val="00FA4281"/>
    <w:rsid w:val="00FA6889"/>
    <w:rsid w:val="00FA6E37"/>
    <w:rsid w:val="00FA7A0F"/>
    <w:rsid w:val="00FA7AD1"/>
    <w:rsid w:val="00FB0A66"/>
    <w:rsid w:val="00FB1A0E"/>
    <w:rsid w:val="00FB2EA5"/>
    <w:rsid w:val="00FB3909"/>
    <w:rsid w:val="00FB55F5"/>
    <w:rsid w:val="00FB5B3B"/>
    <w:rsid w:val="00FB5CD0"/>
    <w:rsid w:val="00FB77CC"/>
    <w:rsid w:val="00FB7F6F"/>
    <w:rsid w:val="00FC1C64"/>
    <w:rsid w:val="00FC2174"/>
    <w:rsid w:val="00FC358F"/>
    <w:rsid w:val="00FC3D5D"/>
    <w:rsid w:val="00FC4025"/>
    <w:rsid w:val="00FC4483"/>
    <w:rsid w:val="00FC471A"/>
    <w:rsid w:val="00FC4C6E"/>
    <w:rsid w:val="00FC5382"/>
    <w:rsid w:val="00FC6A88"/>
    <w:rsid w:val="00FC6AB0"/>
    <w:rsid w:val="00FD1099"/>
    <w:rsid w:val="00FD288B"/>
    <w:rsid w:val="00FD44F2"/>
    <w:rsid w:val="00FD676C"/>
    <w:rsid w:val="00FD6A72"/>
    <w:rsid w:val="00FD79B2"/>
    <w:rsid w:val="00FE0E04"/>
    <w:rsid w:val="00FE1896"/>
    <w:rsid w:val="00FE2315"/>
    <w:rsid w:val="00FE25EB"/>
    <w:rsid w:val="00FE2E2C"/>
    <w:rsid w:val="00FE4192"/>
    <w:rsid w:val="00FE5FCC"/>
    <w:rsid w:val="00FE65C9"/>
    <w:rsid w:val="00FF0820"/>
    <w:rsid w:val="00FF1B9D"/>
    <w:rsid w:val="00FF2470"/>
    <w:rsid w:val="00FF4BE1"/>
    <w:rsid w:val="00FF6369"/>
    <w:rsid w:val="00FF6566"/>
    <w:rsid w:val="00FF72C9"/>
    <w:rsid w:val="00FF7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AAA3D"/>
  <w15:docId w15:val="{5A488A5D-1BEC-49C3-8E78-349BEEFE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810"/>
    <w:pPr>
      <w:spacing w:after="200"/>
      <w:ind w:firstLine="357"/>
      <w:jc w:val="both"/>
    </w:pPr>
    <w:rPr>
      <w:rFonts w:ascii="Calibri Light" w:hAnsi="Calibri Light"/>
      <w:sz w:val="24"/>
      <w:szCs w:val="24"/>
    </w:rPr>
  </w:style>
  <w:style w:type="paragraph" w:styleId="Nagwek1">
    <w:name w:val="heading 1"/>
    <w:aliases w:val="Nagłówek 1 Znak Znak,Część 1."/>
    <w:basedOn w:val="Normalny"/>
    <w:next w:val="Normalny"/>
    <w:link w:val="Nagwek1Znak"/>
    <w:uiPriority w:val="9"/>
    <w:qFormat/>
    <w:rsid w:val="00824175"/>
    <w:pPr>
      <w:keepNext/>
      <w:keepLines/>
      <w:outlineLvl w:val="0"/>
    </w:pPr>
    <w:rPr>
      <w:rFonts w:eastAsia="Times New Roman"/>
      <w:b/>
      <w:bCs/>
      <w:color w:val="2A5384"/>
      <w:sz w:val="32"/>
      <w:szCs w:val="28"/>
    </w:rPr>
  </w:style>
  <w:style w:type="paragraph" w:styleId="Nagwek2">
    <w:name w:val="heading 2"/>
    <w:basedOn w:val="Normalny"/>
    <w:next w:val="Normalny"/>
    <w:link w:val="Nagwek2Znak"/>
    <w:uiPriority w:val="9"/>
    <w:unhideWhenUsed/>
    <w:qFormat/>
    <w:rsid w:val="00824175"/>
    <w:pPr>
      <w:keepNext/>
      <w:keepLines/>
      <w:spacing w:before="480"/>
      <w:outlineLvl w:val="1"/>
    </w:pPr>
    <w:rPr>
      <w:rFonts w:eastAsia="Times New Roman"/>
      <w:b/>
      <w:bCs/>
      <w:color w:val="2A5384"/>
      <w:sz w:val="28"/>
      <w:szCs w:val="26"/>
    </w:rPr>
  </w:style>
  <w:style w:type="paragraph" w:styleId="Nagwek3">
    <w:name w:val="heading 3"/>
    <w:basedOn w:val="Normalny"/>
    <w:next w:val="Normalny"/>
    <w:link w:val="Nagwek3Znak"/>
    <w:uiPriority w:val="9"/>
    <w:unhideWhenUsed/>
    <w:qFormat/>
    <w:rsid w:val="00B44B73"/>
    <w:pPr>
      <w:keepNext/>
      <w:keepLines/>
      <w:spacing w:before="240"/>
      <w:ind w:firstLine="0"/>
      <w:outlineLvl w:val="2"/>
    </w:pPr>
    <w:rPr>
      <w:rFonts w:eastAsia="Times New Roman"/>
      <w:b/>
      <w:bCs/>
      <w:sz w:val="28"/>
    </w:rPr>
  </w:style>
  <w:style w:type="paragraph" w:styleId="Nagwek4">
    <w:name w:val="heading 4"/>
    <w:basedOn w:val="Normalny"/>
    <w:next w:val="Normalny"/>
    <w:link w:val="Nagwek4Znak"/>
    <w:uiPriority w:val="9"/>
    <w:qFormat/>
    <w:rsid w:val="00B14C18"/>
    <w:pPr>
      <w:keepNext/>
      <w:jc w:val="left"/>
      <w:outlineLvl w:val="3"/>
    </w:pPr>
    <w:rPr>
      <w:rFonts w:eastAsia="Times New Roman"/>
      <w:bCs/>
      <w:i/>
      <w:szCs w:val="28"/>
      <w:u w:val="single"/>
    </w:rPr>
  </w:style>
  <w:style w:type="paragraph" w:styleId="Nagwek5">
    <w:name w:val="heading 5"/>
    <w:basedOn w:val="Normalny"/>
    <w:next w:val="Normalny"/>
    <w:link w:val="Nagwek5Znak"/>
    <w:uiPriority w:val="9"/>
    <w:qFormat/>
    <w:rsid w:val="008C67D1"/>
    <w:pPr>
      <w:keepNext/>
      <w:ind w:left="1008" w:hanging="1008"/>
      <w:jc w:val="center"/>
      <w:outlineLvl w:val="4"/>
    </w:pPr>
    <w:rPr>
      <w:rFonts w:eastAsia="Times New Roman"/>
      <w:b/>
      <w:bCs/>
      <w:i/>
      <w:iCs/>
      <w:sz w:val="26"/>
      <w:szCs w:val="26"/>
    </w:rPr>
  </w:style>
  <w:style w:type="paragraph" w:styleId="Nagwek6">
    <w:name w:val="heading 6"/>
    <w:basedOn w:val="Normalny"/>
    <w:next w:val="Normalny"/>
    <w:link w:val="Nagwek6Znak"/>
    <w:uiPriority w:val="9"/>
    <w:qFormat/>
    <w:rsid w:val="008C67D1"/>
    <w:pPr>
      <w:keepNext/>
      <w:ind w:left="1152" w:hanging="1152"/>
      <w:jc w:val="center"/>
      <w:outlineLvl w:val="5"/>
    </w:pPr>
    <w:rPr>
      <w:rFonts w:eastAsia="Times New Roman"/>
      <w:b/>
      <w:bCs/>
      <w:sz w:val="23"/>
      <w:szCs w:val="22"/>
    </w:rPr>
  </w:style>
  <w:style w:type="paragraph" w:styleId="Nagwek7">
    <w:name w:val="heading 7"/>
    <w:basedOn w:val="Normalny"/>
    <w:next w:val="Normalny"/>
    <w:link w:val="Nagwek7Znak"/>
    <w:uiPriority w:val="9"/>
    <w:qFormat/>
    <w:rsid w:val="008C67D1"/>
    <w:pPr>
      <w:keepNext/>
      <w:ind w:left="1296" w:hanging="1296"/>
      <w:outlineLvl w:val="6"/>
    </w:pPr>
    <w:rPr>
      <w:rFonts w:eastAsia="Times New Roman"/>
      <w:sz w:val="23"/>
    </w:rPr>
  </w:style>
  <w:style w:type="paragraph" w:styleId="Nagwek8">
    <w:name w:val="heading 8"/>
    <w:basedOn w:val="Normalny"/>
    <w:next w:val="Normalny"/>
    <w:link w:val="Nagwek8Znak"/>
    <w:uiPriority w:val="9"/>
    <w:qFormat/>
    <w:rsid w:val="008C67D1"/>
    <w:pPr>
      <w:keepNext/>
      <w:shd w:val="pct25" w:color="auto" w:fill="auto"/>
      <w:ind w:left="1440" w:hanging="1440"/>
      <w:jc w:val="center"/>
      <w:outlineLvl w:val="7"/>
    </w:pPr>
    <w:rPr>
      <w:rFonts w:eastAsia="Times New Roman"/>
      <w:i/>
      <w:iCs/>
      <w:sz w:val="23"/>
    </w:rPr>
  </w:style>
  <w:style w:type="paragraph" w:styleId="Nagwek9">
    <w:name w:val="heading 9"/>
    <w:basedOn w:val="Normalny"/>
    <w:next w:val="Normalny"/>
    <w:link w:val="Nagwek9Znak"/>
    <w:uiPriority w:val="9"/>
    <w:qFormat/>
    <w:rsid w:val="008C67D1"/>
    <w:pPr>
      <w:keepNext/>
      <w:widowControl w:val="0"/>
      <w:ind w:left="1584" w:hanging="1584"/>
      <w:jc w:val="center"/>
      <w:outlineLvl w:val="8"/>
    </w:pPr>
    <w:rPr>
      <w:rFonts w:ascii="Cambria" w:eastAsia="Times New Roman" w:hAnsi="Cambria"/>
      <w:sz w:val="23"/>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824175"/>
    <w:rPr>
      <w:rFonts w:ascii="Calibri Light" w:eastAsia="Times New Roman" w:hAnsi="Calibri Light"/>
      <w:b/>
      <w:bCs/>
      <w:color w:val="2A5384"/>
      <w:sz w:val="28"/>
      <w:szCs w:val="26"/>
    </w:rPr>
  </w:style>
  <w:style w:type="paragraph" w:styleId="Tekstprzypisudolnego">
    <w:name w:val="footnote text"/>
    <w:aliases w:val="Tekst przypisu Znak,Tekst przypisu,Tekst przypisu Znak Znak,Footnote Text Char Char,Footnote,Fußnote,FSR footnote,lábléc,Carattere1,Footnote Text Char1 Char,Footnote Text Char2 Char Char Char,Voetnoottekst Char1 Char,text"/>
    <w:basedOn w:val="Normalny"/>
    <w:link w:val="TekstprzypisudolnegoZnak"/>
    <w:uiPriority w:val="99"/>
    <w:unhideWhenUsed/>
    <w:qFormat/>
    <w:rsid w:val="007B7DCA"/>
    <w:pPr>
      <w:spacing w:after="0"/>
      <w:ind w:firstLine="0"/>
    </w:pPr>
    <w:rPr>
      <w:sz w:val="18"/>
      <w:szCs w:val="20"/>
      <w:lang w:eastAsia="en-US"/>
    </w:rPr>
  </w:style>
  <w:style w:type="character" w:customStyle="1" w:styleId="TekstprzypisudolnegoZnak">
    <w:name w:val="Tekst przypisu dolnego Znak"/>
    <w:aliases w:val="Tekst przypisu Znak Znak1,Tekst przypisu Znak1,Tekst przypisu Znak Znak Znak,Footnote Text Char Char Znak,Footnote Znak,Fußnote Znak,FSR footnote Znak,lábléc Znak,Carattere1 Znak,Footnote Text Char1 Char Znak,text Znak"/>
    <w:link w:val="Tekstprzypisudolnego"/>
    <w:uiPriority w:val="99"/>
    <w:rsid w:val="007B7DCA"/>
    <w:rPr>
      <w:rFonts w:ascii="Calibri Light" w:hAnsi="Calibri Light"/>
      <w:sz w:val="18"/>
      <w:lang w:eastAsia="en-US"/>
    </w:rPr>
  </w:style>
  <w:style w:type="character" w:styleId="Odwoanieprzypisudolnego">
    <w:name w:val="footnote reference"/>
    <w:aliases w:val="Footnote Reference Number,Footnote Reference_LVL6,Footnote Reference_LVL61,Footnote Reference_LVL62,Footnote Reference_LVL63,Footnote Reference_LVL64,Fußnotenzeichen3,Footnote symbol,Footnote reference number,Ch,16 Point,FZ"/>
    <w:uiPriority w:val="99"/>
    <w:unhideWhenUsed/>
    <w:qFormat/>
    <w:rsid w:val="00BE2220"/>
    <w:rPr>
      <w:vertAlign w:val="superscript"/>
    </w:rPr>
  </w:style>
  <w:style w:type="paragraph" w:styleId="Akapitzlist">
    <w:name w:val="List Paragraph"/>
    <w:aliases w:val="Dot pt,F5 List Paragraph,List Paragraph1,Colorful List - Accent 11,No Spacing1,List Paragraph Char Char Char,Indicator Text,Numbered Para 1,Bullet 1,Bullet Points,List Paragraph2,MAIN CONTENT,Normal numbered,List Paragraph12,OBC Bullet,L"/>
    <w:basedOn w:val="Normalny"/>
    <w:link w:val="AkapitzlistZnak"/>
    <w:uiPriority w:val="34"/>
    <w:qFormat/>
    <w:rsid w:val="00C967AE"/>
    <w:pPr>
      <w:ind w:left="720"/>
      <w:contextualSpacing/>
    </w:pPr>
  </w:style>
  <w:style w:type="character" w:customStyle="1" w:styleId="CharAttribute23">
    <w:name w:val="CharAttribute23"/>
    <w:rsid w:val="005E2228"/>
    <w:rPr>
      <w:rFonts w:ascii="Calibri" w:eastAsia="Calibri"/>
      <w:sz w:val="24"/>
    </w:rPr>
  </w:style>
  <w:style w:type="paragraph" w:customStyle="1" w:styleId="ParaAttribute7">
    <w:name w:val="ParaAttribute7"/>
    <w:rsid w:val="005E2228"/>
    <w:pPr>
      <w:wordWrap w:val="0"/>
      <w:jc w:val="both"/>
    </w:pPr>
    <w:rPr>
      <w:rFonts w:ascii="Times New Roman" w:eastAsia="Batang" w:hAnsi="Times New Roman"/>
      <w:sz w:val="24"/>
      <w:szCs w:val="24"/>
    </w:rPr>
  </w:style>
  <w:style w:type="paragraph" w:customStyle="1" w:styleId="ParaAttribute43">
    <w:name w:val="ParaAttribute43"/>
    <w:rsid w:val="005E2228"/>
    <w:pPr>
      <w:wordWrap w:val="0"/>
      <w:ind w:right="72"/>
      <w:jc w:val="both"/>
    </w:pPr>
    <w:rPr>
      <w:rFonts w:ascii="Times New Roman" w:eastAsia="Batang" w:hAnsi="Times New Roman"/>
      <w:sz w:val="24"/>
      <w:szCs w:val="24"/>
    </w:rPr>
  </w:style>
  <w:style w:type="character" w:customStyle="1" w:styleId="Nagwek1Znak">
    <w:name w:val="Nagłówek 1 Znak"/>
    <w:aliases w:val="Nagłówek 1 Znak Znak Znak,Część 1. Znak"/>
    <w:link w:val="Nagwek1"/>
    <w:uiPriority w:val="9"/>
    <w:rsid w:val="00824175"/>
    <w:rPr>
      <w:rFonts w:ascii="Calibri Light" w:eastAsia="Times New Roman" w:hAnsi="Calibri Light"/>
      <w:b/>
      <w:bCs/>
      <w:color w:val="2A5384"/>
      <w:sz w:val="32"/>
      <w:szCs w:val="28"/>
    </w:rPr>
  </w:style>
  <w:style w:type="paragraph" w:styleId="Tekstdymka">
    <w:name w:val="Balloon Text"/>
    <w:basedOn w:val="Normalny"/>
    <w:link w:val="TekstdymkaZnak"/>
    <w:uiPriority w:val="99"/>
    <w:semiHidden/>
    <w:unhideWhenUsed/>
    <w:rsid w:val="00A27342"/>
    <w:rPr>
      <w:rFonts w:ascii="Tahoma" w:hAnsi="Tahoma" w:cs="Tahoma"/>
      <w:sz w:val="16"/>
      <w:szCs w:val="16"/>
    </w:rPr>
  </w:style>
  <w:style w:type="character" w:customStyle="1" w:styleId="TekstdymkaZnak">
    <w:name w:val="Tekst dymka Znak"/>
    <w:link w:val="Tekstdymka"/>
    <w:uiPriority w:val="99"/>
    <w:semiHidden/>
    <w:rsid w:val="00A27342"/>
    <w:rPr>
      <w:rFonts w:ascii="Tahoma" w:eastAsia="Times New Roman" w:hAnsi="Tahoma" w:cs="Tahoma"/>
      <w:sz w:val="16"/>
      <w:szCs w:val="16"/>
      <w:lang w:eastAsia="pl-PL"/>
    </w:rPr>
  </w:style>
  <w:style w:type="paragraph" w:customStyle="1" w:styleId="w4ustart">
    <w:name w:val="w4_ust_art"/>
    <w:qFormat/>
    <w:rsid w:val="00462880"/>
    <w:pPr>
      <w:spacing w:before="60" w:after="60"/>
      <w:ind w:left="1843" w:hanging="255"/>
      <w:jc w:val="both"/>
      <w:outlineLvl w:val="5"/>
    </w:pPr>
    <w:rPr>
      <w:rFonts w:ascii="Times New Roman" w:hAnsi="Times New Roman"/>
      <w:sz w:val="24"/>
      <w:szCs w:val="22"/>
      <w:lang w:eastAsia="en-US"/>
    </w:rPr>
  </w:style>
  <w:style w:type="paragraph" w:customStyle="1" w:styleId="Akapitzlist1">
    <w:name w:val="Akapit z listą1"/>
    <w:basedOn w:val="Normalny"/>
    <w:qFormat/>
    <w:rsid w:val="00A10BDE"/>
    <w:pPr>
      <w:ind w:left="720"/>
      <w:contextualSpacing/>
    </w:pPr>
  </w:style>
  <w:style w:type="paragraph" w:styleId="Nagwek">
    <w:name w:val="header"/>
    <w:basedOn w:val="Normalny"/>
    <w:link w:val="NagwekZnak"/>
    <w:uiPriority w:val="99"/>
    <w:unhideWhenUsed/>
    <w:rsid w:val="002747A4"/>
    <w:pPr>
      <w:tabs>
        <w:tab w:val="center" w:pos="4536"/>
        <w:tab w:val="right" w:pos="9072"/>
      </w:tabs>
    </w:pPr>
  </w:style>
  <w:style w:type="character" w:customStyle="1" w:styleId="NagwekZnak">
    <w:name w:val="Nagłówek Znak"/>
    <w:link w:val="Nagwek"/>
    <w:uiPriority w:val="99"/>
    <w:rsid w:val="002747A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747A4"/>
    <w:pPr>
      <w:tabs>
        <w:tab w:val="center" w:pos="4536"/>
        <w:tab w:val="right" w:pos="9072"/>
      </w:tabs>
    </w:pPr>
  </w:style>
  <w:style w:type="character" w:customStyle="1" w:styleId="StopkaZnak">
    <w:name w:val="Stopka Znak"/>
    <w:link w:val="Stopka"/>
    <w:uiPriority w:val="99"/>
    <w:rsid w:val="002747A4"/>
    <w:rPr>
      <w:rFonts w:ascii="Times New Roman" w:eastAsia="Times New Roman" w:hAnsi="Times New Roman" w:cs="Times New Roman"/>
      <w:sz w:val="24"/>
      <w:szCs w:val="24"/>
      <w:lang w:eastAsia="pl-PL"/>
    </w:rPr>
  </w:style>
  <w:style w:type="character" w:customStyle="1" w:styleId="Nagwek3Znak">
    <w:name w:val="Nagłówek 3 Znak"/>
    <w:link w:val="Nagwek3"/>
    <w:uiPriority w:val="9"/>
    <w:rsid w:val="00B44B73"/>
    <w:rPr>
      <w:rFonts w:ascii="Calibri Light" w:eastAsia="Times New Roman" w:hAnsi="Calibri Light"/>
      <w:b/>
      <w:bCs/>
      <w:sz w:val="28"/>
      <w:szCs w:val="24"/>
    </w:rPr>
  </w:style>
  <w:style w:type="paragraph" w:styleId="Nagwekspisutreci">
    <w:name w:val="TOC Heading"/>
    <w:basedOn w:val="Nagwek1"/>
    <w:next w:val="Normalny"/>
    <w:uiPriority w:val="39"/>
    <w:unhideWhenUsed/>
    <w:qFormat/>
    <w:rsid w:val="00E0223C"/>
    <w:pPr>
      <w:spacing w:line="276" w:lineRule="auto"/>
      <w:outlineLvl w:val="9"/>
    </w:pPr>
  </w:style>
  <w:style w:type="paragraph" w:styleId="Spistreci1">
    <w:name w:val="toc 1"/>
    <w:basedOn w:val="Normalny"/>
    <w:next w:val="Normalny"/>
    <w:autoRedefine/>
    <w:uiPriority w:val="39"/>
    <w:unhideWhenUsed/>
    <w:rsid w:val="00BB2A5F"/>
    <w:pPr>
      <w:tabs>
        <w:tab w:val="right" w:leader="dot" w:pos="9354"/>
      </w:tabs>
      <w:spacing w:after="0"/>
      <w:ind w:firstLine="0"/>
      <w:jc w:val="left"/>
    </w:pPr>
    <w:rPr>
      <w:rFonts w:asciiTheme="minorHAnsi" w:hAnsiTheme="minorHAnsi"/>
      <w:b/>
      <w:noProof/>
    </w:rPr>
  </w:style>
  <w:style w:type="paragraph" w:styleId="Spistreci2">
    <w:name w:val="toc 2"/>
    <w:basedOn w:val="Normalny"/>
    <w:next w:val="Normalny"/>
    <w:link w:val="Spistreci2Znak"/>
    <w:autoRedefine/>
    <w:uiPriority w:val="39"/>
    <w:unhideWhenUsed/>
    <w:rsid w:val="00CD5EA4"/>
    <w:pPr>
      <w:tabs>
        <w:tab w:val="left" w:pos="660"/>
        <w:tab w:val="right" w:leader="dot" w:pos="9354"/>
      </w:tabs>
      <w:spacing w:after="0"/>
      <w:ind w:left="709" w:hanging="425"/>
    </w:pPr>
  </w:style>
  <w:style w:type="paragraph" w:styleId="Spistreci3">
    <w:name w:val="toc 3"/>
    <w:basedOn w:val="Normalny"/>
    <w:next w:val="Normalny"/>
    <w:autoRedefine/>
    <w:uiPriority w:val="39"/>
    <w:unhideWhenUsed/>
    <w:rsid w:val="00BB2A5F"/>
    <w:pPr>
      <w:tabs>
        <w:tab w:val="left" w:pos="1320"/>
        <w:tab w:val="right" w:leader="dot" w:pos="9356"/>
      </w:tabs>
      <w:spacing w:after="0"/>
      <w:ind w:left="482" w:right="-2"/>
    </w:pPr>
  </w:style>
  <w:style w:type="character" w:styleId="Hipercze">
    <w:name w:val="Hyperlink"/>
    <w:uiPriority w:val="99"/>
    <w:unhideWhenUsed/>
    <w:rsid w:val="00E0223C"/>
    <w:rPr>
      <w:color w:val="0000FF"/>
      <w:u w:val="single"/>
    </w:rPr>
  </w:style>
  <w:style w:type="character" w:styleId="Odwoaniedokomentarza">
    <w:name w:val="annotation reference"/>
    <w:uiPriority w:val="99"/>
    <w:semiHidden/>
    <w:unhideWhenUsed/>
    <w:rsid w:val="00567E33"/>
    <w:rPr>
      <w:sz w:val="16"/>
      <w:szCs w:val="16"/>
    </w:rPr>
  </w:style>
  <w:style w:type="paragraph" w:styleId="Tekstkomentarza">
    <w:name w:val="annotation text"/>
    <w:basedOn w:val="Normalny"/>
    <w:link w:val="TekstkomentarzaZnak"/>
    <w:uiPriority w:val="99"/>
    <w:unhideWhenUsed/>
    <w:rsid w:val="00567E33"/>
    <w:rPr>
      <w:sz w:val="20"/>
      <w:szCs w:val="20"/>
      <w:lang w:eastAsia="en-US"/>
    </w:rPr>
  </w:style>
  <w:style w:type="character" w:customStyle="1" w:styleId="TekstkomentarzaZnak">
    <w:name w:val="Tekst komentarza Znak"/>
    <w:link w:val="Tekstkomentarza"/>
    <w:uiPriority w:val="99"/>
    <w:rsid w:val="00567E33"/>
    <w:rPr>
      <w:sz w:val="20"/>
      <w:szCs w:val="20"/>
    </w:rPr>
  </w:style>
  <w:style w:type="paragraph" w:customStyle="1" w:styleId="Default">
    <w:name w:val="Default"/>
    <w:rsid w:val="00567E33"/>
    <w:pPr>
      <w:autoSpaceDE w:val="0"/>
      <w:autoSpaceDN w:val="0"/>
      <w:adjustRightInd w:val="0"/>
    </w:pPr>
    <w:rPr>
      <w:rFonts w:ascii="Times New Roman" w:hAnsi="Times New Roman"/>
      <w:color w:val="000000"/>
      <w:sz w:val="24"/>
      <w:szCs w:val="24"/>
      <w:lang w:eastAsia="en-US"/>
    </w:rPr>
  </w:style>
  <w:style w:type="paragraph" w:styleId="NormalnyWeb">
    <w:name w:val="Normal (Web)"/>
    <w:basedOn w:val="Normalny"/>
    <w:uiPriority w:val="99"/>
    <w:unhideWhenUsed/>
    <w:rsid w:val="00BA0FA8"/>
    <w:pPr>
      <w:spacing w:before="100" w:beforeAutospacing="1" w:after="100" w:afterAutospacing="1"/>
    </w:pPr>
  </w:style>
  <w:style w:type="character" w:styleId="Uwydatnienie">
    <w:name w:val="Emphasis"/>
    <w:uiPriority w:val="20"/>
    <w:qFormat/>
    <w:rsid w:val="00BA0FA8"/>
    <w:rPr>
      <w:i/>
      <w:iCs/>
    </w:rPr>
  </w:style>
  <w:style w:type="paragraph" w:styleId="Tematkomentarza">
    <w:name w:val="annotation subject"/>
    <w:basedOn w:val="Tekstkomentarza"/>
    <w:next w:val="Tekstkomentarza"/>
    <w:link w:val="TematkomentarzaZnak"/>
    <w:uiPriority w:val="99"/>
    <w:semiHidden/>
    <w:unhideWhenUsed/>
    <w:rsid w:val="004B730A"/>
    <w:pPr>
      <w:spacing w:after="0"/>
    </w:pPr>
    <w:rPr>
      <w:rFonts w:ascii="Times New Roman" w:eastAsia="Times New Roman" w:hAnsi="Times New Roman"/>
      <w:b/>
      <w:bCs/>
      <w:lang w:eastAsia="pl-PL"/>
    </w:rPr>
  </w:style>
  <w:style w:type="character" w:customStyle="1" w:styleId="TematkomentarzaZnak">
    <w:name w:val="Temat komentarza Znak"/>
    <w:link w:val="Tematkomentarza"/>
    <w:uiPriority w:val="99"/>
    <w:semiHidden/>
    <w:rsid w:val="004B730A"/>
    <w:rPr>
      <w:rFonts w:ascii="Times New Roman" w:eastAsia="Times New Roman" w:hAnsi="Times New Roman" w:cs="Times New Roman"/>
      <w:b/>
      <w:bCs/>
      <w:sz w:val="20"/>
      <w:szCs w:val="20"/>
      <w:lang w:eastAsia="pl-PL"/>
    </w:rPr>
  </w:style>
  <w:style w:type="paragraph" w:styleId="Zwykytekst">
    <w:name w:val="Plain Text"/>
    <w:basedOn w:val="Normalny"/>
    <w:link w:val="ZwykytekstZnak"/>
    <w:uiPriority w:val="99"/>
    <w:unhideWhenUsed/>
    <w:rsid w:val="006417E0"/>
    <w:rPr>
      <w:sz w:val="22"/>
      <w:szCs w:val="21"/>
      <w:lang w:eastAsia="en-US"/>
    </w:rPr>
  </w:style>
  <w:style w:type="character" w:customStyle="1" w:styleId="ZwykytekstZnak">
    <w:name w:val="Zwykły tekst Znak"/>
    <w:link w:val="Zwykytekst"/>
    <w:uiPriority w:val="99"/>
    <w:rsid w:val="006417E0"/>
    <w:rPr>
      <w:sz w:val="22"/>
      <w:szCs w:val="21"/>
      <w:lang w:eastAsia="en-US"/>
    </w:rPr>
  </w:style>
  <w:style w:type="character" w:customStyle="1" w:styleId="AkapitzlistZnak">
    <w:name w:val="Akapit z listą Znak"/>
    <w:aliases w:val="Dot pt Znak,F5 List Paragraph Znak,List Paragraph1 Znak,Colorful List - Accent 11 Znak,No Spacing1 Znak,List Paragraph Char Char Char Znak,Indicator Text Znak,Numbered Para 1 Znak,Bullet 1 Znak,Bullet Points Znak,List Paragraph2 Znak"/>
    <w:link w:val="Akapitzlist"/>
    <w:uiPriority w:val="34"/>
    <w:qFormat/>
    <w:locked/>
    <w:rsid w:val="00435F41"/>
    <w:rPr>
      <w:sz w:val="24"/>
      <w:szCs w:val="24"/>
    </w:rPr>
  </w:style>
  <w:style w:type="paragraph" w:styleId="Tekstprzypisukocowego">
    <w:name w:val="endnote text"/>
    <w:basedOn w:val="Normalny"/>
    <w:link w:val="TekstprzypisukocowegoZnak"/>
    <w:uiPriority w:val="99"/>
    <w:semiHidden/>
    <w:unhideWhenUsed/>
    <w:rsid w:val="0093186D"/>
    <w:rPr>
      <w:sz w:val="20"/>
      <w:szCs w:val="20"/>
    </w:rPr>
  </w:style>
  <w:style w:type="character" w:customStyle="1" w:styleId="TekstprzypisukocowegoZnak">
    <w:name w:val="Tekst przypisu końcowego Znak"/>
    <w:basedOn w:val="Domylnaczcionkaakapitu"/>
    <w:link w:val="Tekstprzypisukocowego"/>
    <w:uiPriority w:val="99"/>
    <w:semiHidden/>
    <w:rsid w:val="0093186D"/>
  </w:style>
  <w:style w:type="character" w:styleId="Odwoanieprzypisukocowego">
    <w:name w:val="endnote reference"/>
    <w:uiPriority w:val="99"/>
    <w:semiHidden/>
    <w:unhideWhenUsed/>
    <w:rsid w:val="0093186D"/>
    <w:rPr>
      <w:vertAlign w:val="superscript"/>
    </w:rPr>
  </w:style>
  <w:style w:type="character" w:styleId="Pogrubienie">
    <w:name w:val="Strong"/>
    <w:uiPriority w:val="22"/>
    <w:qFormat/>
    <w:rsid w:val="008D0B10"/>
    <w:rPr>
      <w:b/>
      <w:bCs/>
    </w:rPr>
  </w:style>
  <w:style w:type="character" w:styleId="UyteHipercze">
    <w:name w:val="FollowedHyperlink"/>
    <w:basedOn w:val="Domylnaczcionkaakapitu"/>
    <w:uiPriority w:val="99"/>
    <w:semiHidden/>
    <w:unhideWhenUsed/>
    <w:rsid w:val="000A128D"/>
    <w:rPr>
      <w:color w:val="800080" w:themeColor="followedHyperlink"/>
      <w:u w:val="single"/>
    </w:rPr>
  </w:style>
  <w:style w:type="paragraph" w:styleId="Poprawka">
    <w:name w:val="Revision"/>
    <w:hidden/>
    <w:uiPriority w:val="99"/>
    <w:semiHidden/>
    <w:rsid w:val="00C83B4B"/>
    <w:rPr>
      <w:sz w:val="24"/>
      <w:szCs w:val="24"/>
    </w:rPr>
  </w:style>
  <w:style w:type="paragraph" w:customStyle="1" w:styleId="sprawozdanie">
    <w:name w:val="sprawozdanie"/>
    <w:basedOn w:val="Normalny"/>
    <w:link w:val="sprawozdanieZnak3"/>
    <w:rsid w:val="00536015"/>
    <w:pPr>
      <w:widowControl w:val="0"/>
      <w:spacing w:before="240" w:after="60"/>
      <w:ind w:firstLine="510"/>
    </w:pPr>
    <w:rPr>
      <w:rFonts w:ascii="Book Antiqua" w:eastAsia="Times New Roman" w:hAnsi="Book Antiqua"/>
      <w:szCs w:val="20"/>
    </w:rPr>
  </w:style>
  <w:style w:type="character" w:customStyle="1" w:styleId="sprawozdanieZnak3">
    <w:name w:val="sprawozdanie Znak3"/>
    <w:link w:val="sprawozdanie"/>
    <w:locked/>
    <w:rsid w:val="00536015"/>
    <w:rPr>
      <w:rFonts w:ascii="Book Antiqua" w:eastAsia="Times New Roman" w:hAnsi="Book Antiqua"/>
      <w:sz w:val="24"/>
    </w:rPr>
  </w:style>
  <w:style w:type="character" w:customStyle="1" w:styleId="Nagwek4Znak">
    <w:name w:val="Nagłówek 4 Znak"/>
    <w:basedOn w:val="Domylnaczcionkaakapitu"/>
    <w:link w:val="Nagwek4"/>
    <w:uiPriority w:val="9"/>
    <w:rsid w:val="00B14C18"/>
    <w:rPr>
      <w:rFonts w:ascii="Calibri Light" w:eastAsia="Times New Roman" w:hAnsi="Calibri Light"/>
      <w:bCs/>
      <w:i/>
      <w:sz w:val="24"/>
      <w:szCs w:val="28"/>
      <w:u w:val="single"/>
    </w:rPr>
  </w:style>
  <w:style w:type="character" w:customStyle="1" w:styleId="Nagwek5Znak">
    <w:name w:val="Nagłówek 5 Znak"/>
    <w:basedOn w:val="Domylnaczcionkaakapitu"/>
    <w:link w:val="Nagwek5"/>
    <w:uiPriority w:val="9"/>
    <w:rsid w:val="008C67D1"/>
    <w:rPr>
      <w:rFonts w:eastAsia="Times New Roman"/>
      <w:b/>
      <w:bCs/>
      <w:i/>
      <w:iCs/>
      <w:sz w:val="26"/>
      <w:szCs w:val="26"/>
    </w:rPr>
  </w:style>
  <w:style w:type="character" w:customStyle="1" w:styleId="Nagwek6Znak">
    <w:name w:val="Nagłówek 6 Znak"/>
    <w:basedOn w:val="Domylnaczcionkaakapitu"/>
    <w:link w:val="Nagwek6"/>
    <w:uiPriority w:val="9"/>
    <w:rsid w:val="008C67D1"/>
    <w:rPr>
      <w:rFonts w:eastAsia="Times New Roman"/>
      <w:b/>
      <w:bCs/>
      <w:sz w:val="23"/>
      <w:szCs w:val="22"/>
    </w:rPr>
  </w:style>
  <w:style w:type="character" w:customStyle="1" w:styleId="Nagwek7Znak">
    <w:name w:val="Nagłówek 7 Znak"/>
    <w:basedOn w:val="Domylnaczcionkaakapitu"/>
    <w:link w:val="Nagwek7"/>
    <w:uiPriority w:val="9"/>
    <w:rsid w:val="008C67D1"/>
    <w:rPr>
      <w:rFonts w:eastAsia="Times New Roman"/>
      <w:sz w:val="23"/>
      <w:szCs w:val="24"/>
    </w:rPr>
  </w:style>
  <w:style w:type="character" w:customStyle="1" w:styleId="Nagwek8Znak">
    <w:name w:val="Nagłówek 8 Znak"/>
    <w:basedOn w:val="Domylnaczcionkaakapitu"/>
    <w:link w:val="Nagwek8"/>
    <w:uiPriority w:val="9"/>
    <w:rsid w:val="008C67D1"/>
    <w:rPr>
      <w:rFonts w:eastAsia="Times New Roman"/>
      <w:i/>
      <w:iCs/>
      <w:sz w:val="23"/>
      <w:szCs w:val="24"/>
      <w:shd w:val="pct25" w:color="auto" w:fill="auto"/>
    </w:rPr>
  </w:style>
  <w:style w:type="character" w:customStyle="1" w:styleId="Nagwek9Znak">
    <w:name w:val="Nagłówek 9 Znak"/>
    <w:basedOn w:val="Domylnaczcionkaakapitu"/>
    <w:link w:val="Nagwek9"/>
    <w:uiPriority w:val="9"/>
    <w:rsid w:val="008C67D1"/>
    <w:rPr>
      <w:rFonts w:ascii="Cambria" w:eastAsia="Times New Roman" w:hAnsi="Cambria"/>
      <w:sz w:val="23"/>
      <w:szCs w:val="22"/>
    </w:rPr>
  </w:style>
  <w:style w:type="paragraph" w:customStyle="1" w:styleId="1908B561879E4FA493D43F06B79E341D">
    <w:name w:val="1908B561879E4FA493D43F06B79E341D"/>
    <w:rsid w:val="006B26B0"/>
    <w:pPr>
      <w:spacing w:after="200" w:line="276" w:lineRule="auto"/>
    </w:pPr>
    <w:rPr>
      <w:rFonts w:asciiTheme="minorHAnsi" w:eastAsiaTheme="minorEastAsia" w:hAnsiTheme="minorHAnsi" w:cstheme="minorBidi"/>
      <w:sz w:val="22"/>
      <w:szCs w:val="22"/>
    </w:rPr>
  </w:style>
  <w:style w:type="paragraph" w:styleId="Bezodstpw">
    <w:name w:val="No Spacing"/>
    <w:link w:val="BezodstpwZnak"/>
    <w:uiPriority w:val="1"/>
    <w:qFormat/>
    <w:rsid w:val="00A329FD"/>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A329FD"/>
    <w:rPr>
      <w:rFonts w:asciiTheme="minorHAnsi" w:eastAsiaTheme="minorEastAsia" w:hAnsiTheme="minorHAnsi" w:cstheme="minorBidi"/>
      <w:sz w:val="22"/>
      <w:szCs w:val="22"/>
    </w:rPr>
  </w:style>
  <w:style w:type="table" w:styleId="Jasnalistaakcent1">
    <w:name w:val="Light List Accent 1"/>
    <w:basedOn w:val="Standardowy"/>
    <w:uiPriority w:val="61"/>
    <w:rsid w:val="000118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siatkaakcent1">
    <w:name w:val="Light Grid Accent 1"/>
    <w:basedOn w:val="Standardowy"/>
    <w:uiPriority w:val="62"/>
    <w:rsid w:val="00AF7B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Sprawozdanie0">
    <w:name w:val="Sprawozdanie"/>
    <w:basedOn w:val="Normalny"/>
    <w:link w:val="SprawozdanieZnak1"/>
    <w:rsid w:val="00F52646"/>
    <w:pPr>
      <w:widowControl w:val="0"/>
      <w:tabs>
        <w:tab w:val="left" w:pos="284"/>
        <w:tab w:val="left" w:pos="709"/>
        <w:tab w:val="left" w:pos="1134"/>
        <w:tab w:val="left" w:pos="1701"/>
        <w:tab w:val="left" w:pos="3686"/>
      </w:tabs>
      <w:ind w:firstLine="510"/>
    </w:pPr>
    <w:rPr>
      <w:rFonts w:ascii="Book Antiqua" w:eastAsia="Times New Roman" w:hAnsi="Book Antiqua"/>
      <w:szCs w:val="20"/>
    </w:rPr>
  </w:style>
  <w:style w:type="character" w:customStyle="1" w:styleId="SprawozdanieZnak1">
    <w:name w:val="Sprawozdanie Znak1"/>
    <w:link w:val="Sprawozdanie0"/>
    <w:locked/>
    <w:rsid w:val="00F52646"/>
    <w:rPr>
      <w:rFonts w:ascii="Book Antiqua" w:eastAsia="Times New Roman" w:hAnsi="Book Antiqua"/>
      <w:sz w:val="24"/>
    </w:rPr>
  </w:style>
  <w:style w:type="table" w:styleId="Jasnalistaakcent3">
    <w:name w:val="Light List Accent 3"/>
    <w:basedOn w:val="Standardowy"/>
    <w:uiPriority w:val="61"/>
    <w:rsid w:val="008F7E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5">
    <w:name w:val="Light List Accent 5"/>
    <w:basedOn w:val="Standardowy"/>
    <w:uiPriority w:val="61"/>
    <w:rsid w:val="008F7E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rednialista1akcent1">
    <w:name w:val="Medium List 1 Accent 1"/>
    <w:basedOn w:val="Standardowy"/>
    <w:uiPriority w:val="65"/>
    <w:rsid w:val="008F7EA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
    <w:name w:val="Medium List 1"/>
    <w:basedOn w:val="Standardowy"/>
    <w:uiPriority w:val="65"/>
    <w:rsid w:val="008F7EA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ecieniowanie2akcent5">
    <w:name w:val="Medium Shading 2 Accent 5"/>
    <w:basedOn w:val="Standardowy"/>
    <w:uiPriority w:val="64"/>
    <w:rsid w:val="008F7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8F7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8F7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8F7E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1akcent6">
    <w:name w:val="Medium Shading 1 Accent 6"/>
    <w:basedOn w:val="Standardowy"/>
    <w:uiPriority w:val="63"/>
    <w:rsid w:val="008F7E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abela-Siatka">
    <w:name w:val="Table Grid"/>
    <w:basedOn w:val="Standardowy"/>
    <w:uiPriority w:val="59"/>
    <w:rsid w:val="006C0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ocked/>
    <w:rsid w:val="00C44E3F"/>
    <w:pPr>
      <w:spacing w:before="120" w:after="120" w:line="288" w:lineRule="auto"/>
      <w:jc w:val="both"/>
    </w:pPr>
    <w:rPr>
      <w:rFonts w:ascii="Arial" w:eastAsia="Times New Roman" w:hAnsi="Arial"/>
      <w:sz w:val="22"/>
      <w:szCs w:val="24"/>
    </w:rPr>
  </w:style>
  <w:style w:type="table" w:customStyle="1" w:styleId="Jasnalistaakcent11">
    <w:name w:val="Jasna lista — akcent 11"/>
    <w:basedOn w:val="Standardowy"/>
    <w:next w:val="Jasnalistaakcent1"/>
    <w:uiPriority w:val="61"/>
    <w:rsid w:val="00FD288B"/>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ytatintensywny">
    <w:name w:val="Intense Quote"/>
    <w:basedOn w:val="Normalny"/>
    <w:next w:val="Normalny"/>
    <w:link w:val="CytatintensywnyZnak"/>
    <w:uiPriority w:val="30"/>
    <w:qFormat/>
    <w:rsid w:val="00275A6C"/>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275A6C"/>
    <w:rPr>
      <w:rFonts w:asciiTheme="minorHAnsi" w:eastAsiaTheme="minorEastAsia" w:hAnsiTheme="minorHAnsi" w:cstheme="minorBidi"/>
      <w:b/>
      <w:bCs/>
      <w:i/>
      <w:iCs/>
      <w:color w:val="4F81BD" w:themeColor="accent1"/>
      <w:sz w:val="22"/>
      <w:szCs w:val="22"/>
    </w:rPr>
  </w:style>
  <w:style w:type="table" w:customStyle="1" w:styleId="Tabela-Siatka1">
    <w:name w:val="Tabela - Siatka1"/>
    <w:basedOn w:val="Standardowy"/>
    <w:next w:val="Tabela-Siatka"/>
    <w:uiPriority w:val="59"/>
    <w:rsid w:val="00B37A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2">
    <w:name w:val="Jasna lista — akcent 12"/>
    <w:basedOn w:val="Standardowy"/>
    <w:next w:val="Jasnalistaakcent1"/>
    <w:uiPriority w:val="61"/>
    <w:rsid w:val="00C11AE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asnalistaakcent13">
    <w:name w:val="Jasna lista — akcent 13"/>
    <w:basedOn w:val="Standardowy"/>
    <w:next w:val="Jasnalistaakcent1"/>
    <w:uiPriority w:val="61"/>
    <w:rsid w:val="0041433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podstawowywcity">
    <w:name w:val="Body Text Indent"/>
    <w:basedOn w:val="Normalny"/>
    <w:link w:val="TekstpodstawowywcityZnak"/>
    <w:rsid w:val="007B767F"/>
    <w:pPr>
      <w:spacing w:after="120"/>
      <w:ind w:left="283"/>
    </w:pPr>
    <w:rPr>
      <w:rFonts w:ascii="Times New Roman" w:eastAsia="Times New Roman" w:hAnsi="Times New Roman"/>
      <w:sz w:val="20"/>
      <w:szCs w:val="20"/>
    </w:rPr>
  </w:style>
  <w:style w:type="character" w:customStyle="1" w:styleId="TekstpodstawowywcityZnak">
    <w:name w:val="Tekst podstawowy wcięty Znak"/>
    <w:basedOn w:val="Domylnaczcionkaakapitu"/>
    <w:link w:val="Tekstpodstawowywcity"/>
    <w:rsid w:val="007B767F"/>
    <w:rPr>
      <w:rFonts w:ascii="Times New Roman" w:eastAsia="Times New Roman" w:hAnsi="Times New Roman"/>
    </w:rPr>
  </w:style>
  <w:style w:type="paragraph" w:styleId="Tekstpodstawowy">
    <w:name w:val="Body Text"/>
    <w:basedOn w:val="Normalny"/>
    <w:link w:val="TekstpodstawowyZnak"/>
    <w:uiPriority w:val="99"/>
    <w:semiHidden/>
    <w:unhideWhenUsed/>
    <w:rsid w:val="006718FE"/>
    <w:pPr>
      <w:spacing w:after="120"/>
    </w:pPr>
  </w:style>
  <w:style w:type="character" w:customStyle="1" w:styleId="TekstpodstawowyZnak">
    <w:name w:val="Tekst podstawowy Znak"/>
    <w:basedOn w:val="Domylnaczcionkaakapitu"/>
    <w:link w:val="Tekstpodstawowy"/>
    <w:uiPriority w:val="99"/>
    <w:semiHidden/>
    <w:rsid w:val="006718FE"/>
    <w:rPr>
      <w:sz w:val="24"/>
      <w:szCs w:val="24"/>
    </w:rPr>
  </w:style>
  <w:style w:type="paragraph" w:styleId="Tekstpodstawowyzwciciem">
    <w:name w:val="Body Text First Indent"/>
    <w:basedOn w:val="Tekstpodstawowy"/>
    <w:link w:val="TekstpodstawowyzwciciemZnak"/>
    <w:uiPriority w:val="99"/>
    <w:unhideWhenUsed/>
    <w:rsid w:val="006718FE"/>
    <w:pPr>
      <w:spacing w:after="0"/>
      <w:ind w:firstLine="360"/>
    </w:pPr>
  </w:style>
  <w:style w:type="character" w:customStyle="1" w:styleId="TekstpodstawowyzwciciemZnak">
    <w:name w:val="Tekst podstawowy z wcięciem Znak"/>
    <w:basedOn w:val="TekstpodstawowyZnak"/>
    <w:link w:val="Tekstpodstawowyzwciciem"/>
    <w:uiPriority w:val="99"/>
    <w:rsid w:val="006718FE"/>
    <w:rPr>
      <w:sz w:val="24"/>
      <w:szCs w:val="24"/>
    </w:rPr>
  </w:style>
  <w:style w:type="numbering" w:customStyle="1" w:styleId="Bezlisty1">
    <w:name w:val="Bez listy1"/>
    <w:next w:val="Bezlisty"/>
    <w:uiPriority w:val="99"/>
    <w:semiHidden/>
    <w:unhideWhenUsed/>
    <w:rsid w:val="003A5453"/>
  </w:style>
  <w:style w:type="character" w:customStyle="1" w:styleId="Nagweklubstopka">
    <w:name w:val="Nagłówek lub stopka_"/>
    <w:basedOn w:val="Domylnaczcionkaakapitu"/>
    <w:rsid w:val="009B6DE9"/>
    <w:rPr>
      <w:rFonts w:ascii="Calibri" w:eastAsia="Calibri" w:hAnsi="Calibri" w:cs="Calibri"/>
      <w:b w:val="0"/>
      <w:bCs w:val="0"/>
      <w:i w:val="0"/>
      <w:iCs w:val="0"/>
      <w:smallCaps w:val="0"/>
      <w:strike w:val="0"/>
      <w:sz w:val="24"/>
      <w:szCs w:val="24"/>
      <w:u w:val="none"/>
    </w:rPr>
  </w:style>
  <w:style w:type="character" w:customStyle="1" w:styleId="Nagweklubstopka0">
    <w:name w:val="Nagłówek lub stopka"/>
    <w:basedOn w:val="Nagweklubstopka"/>
    <w:rsid w:val="009B6DE9"/>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sid w:val="009B6DE9"/>
    <w:rPr>
      <w:rFonts w:cs="Calibri"/>
      <w:sz w:val="24"/>
      <w:szCs w:val="24"/>
      <w:shd w:val="clear" w:color="auto" w:fill="FFFFFF"/>
    </w:rPr>
  </w:style>
  <w:style w:type="paragraph" w:customStyle="1" w:styleId="Teksttreci20">
    <w:name w:val="Tekst treści (2)"/>
    <w:basedOn w:val="Normalny"/>
    <w:link w:val="Teksttreci2"/>
    <w:rsid w:val="009B6DE9"/>
    <w:pPr>
      <w:widowControl w:val="0"/>
      <w:shd w:val="clear" w:color="auto" w:fill="FFFFFF"/>
      <w:spacing w:after="180" w:line="336" w:lineRule="exact"/>
      <w:ind w:hanging="420"/>
    </w:pPr>
    <w:rPr>
      <w:rFonts w:cs="Calibri"/>
    </w:rPr>
  </w:style>
  <w:style w:type="paragraph" w:styleId="Mapadokumentu">
    <w:name w:val="Document Map"/>
    <w:basedOn w:val="Normalny"/>
    <w:link w:val="MapadokumentuZnak"/>
    <w:semiHidden/>
    <w:rsid w:val="00E46DEC"/>
    <w:pPr>
      <w:shd w:val="clear" w:color="auto" w:fill="000080"/>
    </w:pPr>
    <w:rPr>
      <w:rFonts w:ascii="Tahoma" w:eastAsia="Times New Roman" w:hAnsi="Tahoma" w:cs="Tahoma"/>
      <w:sz w:val="20"/>
      <w:szCs w:val="20"/>
    </w:rPr>
  </w:style>
  <w:style w:type="character" w:customStyle="1" w:styleId="MapadokumentuZnak">
    <w:name w:val="Mapa dokumentu Znak"/>
    <w:basedOn w:val="Domylnaczcionkaakapitu"/>
    <w:link w:val="Mapadokumentu"/>
    <w:semiHidden/>
    <w:rsid w:val="00E46DEC"/>
    <w:rPr>
      <w:rFonts w:ascii="Tahoma" w:eastAsia="Times New Roman" w:hAnsi="Tahoma" w:cs="Tahoma"/>
      <w:shd w:val="clear" w:color="auto" w:fill="000080"/>
    </w:rPr>
  </w:style>
  <w:style w:type="character" w:customStyle="1" w:styleId="Teksttreci2Kursywa">
    <w:name w:val="Tekst treści (2) + Kursywa"/>
    <w:rsid w:val="00E46DEC"/>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paragraph" w:customStyle="1" w:styleId="dataaktudatauchwalenialubwydaniaaktu">
    <w:name w:val="dataaktudatauchwalenialubwydaniaaktu"/>
    <w:basedOn w:val="Normalny"/>
    <w:rsid w:val="00DA0C45"/>
    <w:pPr>
      <w:spacing w:before="100" w:beforeAutospacing="1" w:after="100" w:afterAutospacing="1"/>
    </w:pPr>
    <w:rPr>
      <w:rFonts w:ascii="Times New Roman" w:eastAsiaTheme="minorHAnsi" w:hAnsi="Times New Roman"/>
    </w:rPr>
  </w:style>
  <w:style w:type="table" w:customStyle="1" w:styleId="Jasnalistaakcent111">
    <w:name w:val="Jasna lista — akcent 111"/>
    <w:basedOn w:val="Standardowy"/>
    <w:next w:val="Jasnalistaakcent1"/>
    <w:uiPriority w:val="61"/>
    <w:rsid w:val="004F5FAB"/>
    <w:pPr>
      <w:spacing w:after="160" w:line="252" w:lineRule="auto"/>
      <w:jc w:val="both"/>
    </w:pPr>
    <w:rPr>
      <w:rFonts w:eastAsia="Times New Roman"/>
      <w:sz w:val="22"/>
      <w:szCs w:val="22"/>
    </w:rPr>
    <w:tblPr>
      <w:tblStyleRowBandSize w:val="1"/>
      <w:tblStyleColBandSize w:val="1"/>
      <w:tblInd w:w="0" w:type="nil"/>
      <w:tblBorders>
        <w:top w:val="single" w:sz="8" w:space="0" w:color="097DA6"/>
        <w:left w:val="single" w:sz="8" w:space="0" w:color="097DA6"/>
        <w:bottom w:val="single" w:sz="8" w:space="0" w:color="097DA6"/>
        <w:right w:val="single" w:sz="8" w:space="0" w:color="097DA6"/>
      </w:tblBorders>
    </w:tblPr>
    <w:tblStylePr w:type="firstRow">
      <w:pPr>
        <w:spacing w:beforeLines="0" w:before="100" w:beforeAutospacing="1" w:afterLines="0" w:after="100" w:afterAutospacing="1" w:line="240" w:lineRule="auto"/>
      </w:pPr>
      <w:rPr>
        <w:b/>
        <w:bCs/>
        <w:color w:val="FFFFFF"/>
      </w:rPr>
      <w:tblPr/>
      <w:tcPr>
        <w:shd w:val="clear" w:color="auto" w:fill="097DA6"/>
      </w:tcPr>
    </w:tblStylePr>
    <w:tblStylePr w:type="lastRow">
      <w:pPr>
        <w:spacing w:beforeLines="0" w:before="100" w:beforeAutospacing="1" w:afterLines="0" w:after="100" w:afterAutospacing="1" w:line="240" w:lineRule="auto"/>
      </w:pPr>
      <w:rPr>
        <w:b/>
        <w:bCs/>
      </w:rPr>
      <w:tblPr/>
      <w:tcPr>
        <w:tcBorders>
          <w:top w:val="double" w:sz="6" w:space="0" w:color="097DA6"/>
          <w:left w:val="single" w:sz="8" w:space="0" w:color="097DA6"/>
          <w:bottom w:val="single" w:sz="8" w:space="0" w:color="097DA6"/>
          <w:right w:val="single" w:sz="8" w:space="0" w:color="097DA6"/>
        </w:tcBorders>
      </w:tcPr>
    </w:tblStylePr>
    <w:tblStylePr w:type="firstCol">
      <w:rPr>
        <w:b/>
        <w:bCs/>
      </w:rPr>
    </w:tblStylePr>
    <w:tblStylePr w:type="lastCol">
      <w:rPr>
        <w:b/>
        <w:bCs/>
      </w:rPr>
    </w:tblStylePr>
    <w:tblStylePr w:type="band1Vert">
      <w:tblPr/>
      <w:tcPr>
        <w:tcBorders>
          <w:top w:val="single" w:sz="8" w:space="0" w:color="097DA6"/>
          <w:left w:val="single" w:sz="8" w:space="0" w:color="097DA6"/>
          <w:bottom w:val="single" w:sz="8" w:space="0" w:color="097DA6"/>
          <w:right w:val="single" w:sz="8" w:space="0" w:color="097DA6"/>
        </w:tcBorders>
      </w:tcPr>
    </w:tblStylePr>
    <w:tblStylePr w:type="band1Horz">
      <w:tblPr/>
      <w:tcPr>
        <w:tcBorders>
          <w:top w:val="single" w:sz="8" w:space="0" w:color="097DA6"/>
          <w:left w:val="single" w:sz="8" w:space="0" w:color="097DA6"/>
          <w:bottom w:val="single" w:sz="8" w:space="0" w:color="097DA6"/>
          <w:right w:val="single" w:sz="8" w:space="0" w:color="097DA6"/>
        </w:tcBorders>
      </w:tcPr>
    </w:tblStylePr>
  </w:style>
  <w:style w:type="paragraph" w:styleId="Legenda">
    <w:name w:val="caption"/>
    <w:aliases w:val="Legenda Znak"/>
    <w:basedOn w:val="Normalny"/>
    <w:next w:val="Normalny"/>
    <w:link w:val="LegendaZnak1"/>
    <w:unhideWhenUsed/>
    <w:qFormat/>
    <w:rsid w:val="00FD1099"/>
    <w:pPr>
      <w:spacing w:after="160" w:line="252" w:lineRule="auto"/>
      <w:ind w:firstLine="454"/>
    </w:pPr>
    <w:rPr>
      <w:rFonts w:eastAsiaTheme="minorEastAsia" w:cstheme="minorBidi"/>
      <w:b/>
      <w:bCs/>
      <w:sz w:val="18"/>
      <w:szCs w:val="18"/>
    </w:rPr>
  </w:style>
  <w:style w:type="character" w:customStyle="1" w:styleId="LegendaZnak1">
    <w:name w:val="Legenda Znak1"/>
    <w:aliases w:val="Legenda Znak Znak"/>
    <w:link w:val="Legenda"/>
    <w:locked/>
    <w:rsid w:val="00FD1099"/>
    <w:rPr>
      <w:rFonts w:ascii="Calibri Light" w:eastAsiaTheme="minorEastAsia" w:hAnsi="Calibri Light" w:cstheme="minorBidi"/>
      <w:b/>
      <w:bCs/>
      <w:sz w:val="18"/>
      <w:szCs w:val="18"/>
    </w:rPr>
  </w:style>
  <w:style w:type="paragraph" w:customStyle="1" w:styleId="Style3">
    <w:name w:val="Style3"/>
    <w:basedOn w:val="Normalny"/>
    <w:uiPriority w:val="99"/>
    <w:rsid w:val="00FD1099"/>
    <w:pPr>
      <w:widowControl w:val="0"/>
      <w:autoSpaceDE w:val="0"/>
      <w:autoSpaceDN w:val="0"/>
      <w:adjustRightInd w:val="0"/>
      <w:spacing w:after="0" w:line="379" w:lineRule="exact"/>
      <w:ind w:firstLine="0"/>
    </w:pPr>
    <w:rPr>
      <w:rFonts w:ascii="Arial" w:eastAsia="MS Mincho" w:hAnsi="Arial"/>
      <w:lang w:eastAsia="ja-JP"/>
    </w:rPr>
  </w:style>
  <w:style w:type="character" w:customStyle="1" w:styleId="FontStyle31">
    <w:name w:val="Font Style31"/>
    <w:uiPriority w:val="99"/>
    <w:rsid w:val="00FD1099"/>
    <w:rPr>
      <w:rFonts w:ascii="Times New Roman" w:hAnsi="Times New Roman" w:cs="Times New Roman"/>
      <w:sz w:val="22"/>
      <w:szCs w:val="22"/>
    </w:rPr>
  </w:style>
  <w:style w:type="paragraph" w:customStyle="1" w:styleId="Sprawozdanietekst">
    <w:name w:val="Sprawozdanie tekst"/>
    <w:basedOn w:val="sprawozdanie"/>
    <w:link w:val="SprawozdanietekstZnak"/>
    <w:rsid w:val="00FD1099"/>
    <w:pPr>
      <w:spacing w:before="0" w:after="0" w:line="252" w:lineRule="auto"/>
      <w:ind w:firstLine="708"/>
    </w:pPr>
    <w:rPr>
      <w:rFonts w:cstheme="minorBidi"/>
      <w:sz w:val="23"/>
    </w:rPr>
  </w:style>
  <w:style w:type="character" w:customStyle="1" w:styleId="SprawozdanietekstZnak">
    <w:name w:val="Sprawozdanie tekst Znak"/>
    <w:link w:val="Sprawozdanietekst"/>
    <w:locked/>
    <w:rsid w:val="00FD1099"/>
    <w:rPr>
      <w:rFonts w:ascii="Book Antiqua" w:eastAsia="Times New Roman" w:hAnsi="Book Antiqua" w:cstheme="minorBidi"/>
      <w:sz w:val="23"/>
    </w:rPr>
  </w:style>
  <w:style w:type="paragraph" w:customStyle="1" w:styleId="Nagwek1ZnakZnak1">
    <w:name w:val="Nagłówek 1 Znak Znak1"/>
    <w:basedOn w:val="Normalny"/>
    <w:autoRedefine/>
    <w:rsid w:val="00FD1099"/>
    <w:pPr>
      <w:keepNext/>
      <w:numPr>
        <w:numId w:val="2"/>
      </w:numPr>
      <w:spacing w:after="160" w:line="276" w:lineRule="auto"/>
      <w:ind w:left="360"/>
    </w:pPr>
    <w:rPr>
      <w:rFonts w:eastAsiaTheme="minorHAnsi" w:cstheme="minorBidi"/>
      <w:bCs/>
      <w:color w:val="1F497D" w:themeColor="text2"/>
      <w:sz w:val="28"/>
      <w:szCs w:val="28"/>
      <w:lang w:eastAsia="en-US"/>
    </w:rPr>
  </w:style>
  <w:style w:type="table" w:customStyle="1" w:styleId="Jasnalistaakcent14">
    <w:name w:val="Jasna lista — akcent 14"/>
    <w:basedOn w:val="Standardowy"/>
    <w:next w:val="Jasnalistaakcent1"/>
    <w:uiPriority w:val="61"/>
    <w:rsid w:val="00FD1099"/>
    <w:pPr>
      <w:spacing w:after="160" w:line="252" w:lineRule="auto"/>
      <w:jc w:val="both"/>
    </w:pPr>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Siatka5">
    <w:name w:val="Tabela - Siatka5"/>
    <w:basedOn w:val="Standardowy"/>
    <w:next w:val="Tabela-Siatka"/>
    <w:uiPriority w:val="59"/>
    <w:rsid w:val="00FD1099"/>
    <w:pPr>
      <w:spacing w:after="160" w:line="252" w:lineRule="auto"/>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basedOn w:val="Domylnaczcionkaakapitu"/>
    <w:link w:val="Stopka1"/>
    <w:rsid w:val="00FD1099"/>
    <w:rPr>
      <w:rFonts w:ascii="Palatino Linotype" w:eastAsia="Palatino Linotype" w:hAnsi="Palatino Linotype" w:cs="Palatino Linotype"/>
      <w:sz w:val="17"/>
      <w:szCs w:val="17"/>
      <w:shd w:val="clear" w:color="auto" w:fill="FFFFFF"/>
    </w:rPr>
  </w:style>
  <w:style w:type="paragraph" w:customStyle="1" w:styleId="Stopka1">
    <w:name w:val="Stopka1"/>
    <w:basedOn w:val="Normalny"/>
    <w:link w:val="Stopka0"/>
    <w:rsid w:val="00FD1099"/>
    <w:pPr>
      <w:widowControl w:val="0"/>
      <w:shd w:val="clear" w:color="auto" w:fill="FFFFFF"/>
      <w:spacing w:after="160" w:line="0" w:lineRule="atLeast"/>
      <w:ind w:firstLine="454"/>
    </w:pPr>
    <w:rPr>
      <w:rFonts w:ascii="Palatino Linotype" w:eastAsia="Palatino Linotype" w:hAnsi="Palatino Linotype" w:cs="Palatino Linotype"/>
      <w:sz w:val="17"/>
      <w:szCs w:val="17"/>
    </w:rPr>
  </w:style>
  <w:style w:type="character" w:customStyle="1" w:styleId="Spistreci2Znak">
    <w:name w:val="Spis treści 2 Znak"/>
    <w:basedOn w:val="Domylnaczcionkaakapitu"/>
    <w:link w:val="Spistreci2"/>
    <w:uiPriority w:val="39"/>
    <w:rsid w:val="00CD5EA4"/>
    <w:rPr>
      <w:rFonts w:ascii="Calibri Light" w:hAnsi="Calibri Light"/>
      <w:sz w:val="24"/>
      <w:szCs w:val="24"/>
    </w:rPr>
  </w:style>
  <w:style w:type="paragraph" w:styleId="Spistreci4">
    <w:name w:val="toc 4"/>
    <w:basedOn w:val="Normalny"/>
    <w:next w:val="Normalny"/>
    <w:autoRedefine/>
    <w:uiPriority w:val="39"/>
    <w:unhideWhenUsed/>
    <w:rsid w:val="00FD1099"/>
    <w:pPr>
      <w:spacing w:after="100" w:line="259" w:lineRule="auto"/>
      <w:ind w:left="660" w:firstLine="454"/>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FD1099"/>
    <w:pPr>
      <w:spacing w:after="100" w:line="259" w:lineRule="auto"/>
      <w:ind w:left="880" w:firstLine="454"/>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FD1099"/>
    <w:pPr>
      <w:spacing w:after="100" w:line="259" w:lineRule="auto"/>
      <w:ind w:left="1100" w:firstLine="454"/>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FD1099"/>
    <w:pPr>
      <w:spacing w:after="100" w:line="259" w:lineRule="auto"/>
      <w:ind w:left="1320" w:firstLine="454"/>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FD1099"/>
    <w:pPr>
      <w:spacing w:after="100" w:line="259" w:lineRule="auto"/>
      <w:ind w:left="1540" w:firstLine="454"/>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FD1099"/>
    <w:pPr>
      <w:spacing w:after="100" w:line="259" w:lineRule="auto"/>
      <w:ind w:left="1760" w:firstLine="454"/>
    </w:pPr>
    <w:rPr>
      <w:rFonts w:asciiTheme="minorHAnsi" w:eastAsiaTheme="minorEastAsia" w:hAnsiTheme="minorHAnsi" w:cstheme="minorBidi"/>
      <w:sz w:val="22"/>
      <w:szCs w:val="22"/>
    </w:rPr>
  </w:style>
  <w:style w:type="paragraph" w:styleId="Tytu">
    <w:name w:val="Title"/>
    <w:basedOn w:val="Normalny"/>
    <w:next w:val="Normalny"/>
    <w:link w:val="TytuZnak"/>
    <w:uiPriority w:val="10"/>
    <w:qFormat/>
    <w:rsid w:val="00FD1099"/>
    <w:pPr>
      <w:spacing w:after="0"/>
      <w:ind w:firstLine="454"/>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FD1099"/>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FD1099"/>
    <w:pPr>
      <w:numPr>
        <w:ilvl w:val="1"/>
      </w:numPr>
      <w:spacing w:after="240" w:line="252" w:lineRule="auto"/>
      <w:ind w:firstLine="454"/>
      <w:jc w:val="center"/>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FD1099"/>
    <w:rPr>
      <w:rFonts w:asciiTheme="majorHAnsi" w:eastAsiaTheme="majorEastAsia" w:hAnsiTheme="majorHAnsi" w:cstheme="majorBidi"/>
      <w:sz w:val="24"/>
      <w:szCs w:val="24"/>
    </w:rPr>
  </w:style>
  <w:style w:type="paragraph" w:styleId="Cytat">
    <w:name w:val="Quote"/>
    <w:basedOn w:val="Normalny"/>
    <w:next w:val="Normalny"/>
    <w:link w:val="CytatZnak"/>
    <w:uiPriority w:val="29"/>
    <w:qFormat/>
    <w:rsid w:val="00FD1099"/>
    <w:pPr>
      <w:spacing w:before="200" w:after="160" w:line="264" w:lineRule="auto"/>
      <w:ind w:left="864" w:right="864" w:firstLine="454"/>
      <w:jc w:val="center"/>
    </w:pPr>
    <w:rPr>
      <w:rFonts w:asciiTheme="majorHAnsi" w:eastAsiaTheme="majorEastAsia" w:hAnsiTheme="majorHAnsi" w:cstheme="majorBidi"/>
      <w:i/>
      <w:iCs/>
    </w:rPr>
  </w:style>
  <w:style w:type="character" w:customStyle="1" w:styleId="CytatZnak">
    <w:name w:val="Cytat Znak"/>
    <w:basedOn w:val="Domylnaczcionkaakapitu"/>
    <w:link w:val="Cytat"/>
    <w:uiPriority w:val="29"/>
    <w:rsid w:val="00FD1099"/>
    <w:rPr>
      <w:rFonts w:asciiTheme="majorHAnsi" w:eastAsiaTheme="majorEastAsia" w:hAnsiTheme="majorHAnsi" w:cstheme="majorBidi"/>
      <w:i/>
      <w:iCs/>
      <w:sz w:val="24"/>
      <w:szCs w:val="24"/>
    </w:rPr>
  </w:style>
  <w:style w:type="character" w:styleId="Wyrnieniedelikatne">
    <w:name w:val="Subtle Emphasis"/>
    <w:basedOn w:val="Domylnaczcionkaakapitu"/>
    <w:uiPriority w:val="19"/>
    <w:qFormat/>
    <w:rsid w:val="00FD1099"/>
    <w:rPr>
      <w:i/>
      <w:iCs/>
      <w:color w:val="auto"/>
    </w:rPr>
  </w:style>
  <w:style w:type="character" w:styleId="Wyrnienieintensywne">
    <w:name w:val="Intense Emphasis"/>
    <w:basedOn w:val="Domylnaczcionkaakapitu"/>
    <w:uiPriority w:val="21"/>
    <w:qFormat/>
    <w:rsid w:val="00FD1099"/>
    <w:rPr>
      <w:b/>
      <w:bCs/>
      <w:i/>
      <w:iCs/>
      <w:color w:val="auto"/>
    </w:rPr>
  </w:style>
  <w:style w:type="character" w:styleId="Odwoaniedelikatne">
    <w:name w:val="Subtle Reference"/>
    <w:basedOn w:val="Domylnaczcionkaakapitu"/>
    <w:uiPriority w:val="31"/>
    <w:qFormat/>
    <w:rsid w:val="00FD1099"/>
    <w:rPr>
      <w:smallCaps/>
      <w:color w:val="auto"/>
      <w:u w:val="single" w:color="7F7F7F" w:themeColor="text1" w:themeTint="80"/>
    </w:rPr>
  </w:style>
  <w:style w:type="character" w:styleId="Odwoanieintensywne">
    <w:name w:val="Intense Reference"/>
    <w:basedOn w:val="Domylnaczcionkaakapitu"/>
    <w:uiPriority w:val="32"/>
    <w:qFormat/>
    <w:rsid w:val="00FD1099"/>
    <w:rPr>
      <w:b/>
      <w:bCs/>
      <w:smallCaps/>
      <w:color w:val="auto"/>
      <w:u w:val="single"/>
    </w:rPr>
  </w:style>
  <w:style w:type="character" w:styleId="Tytuksiki">
    <w:name w:val="Book Title"/>
    <w:basedOn w:val="Domylnaczcionkaakapitu"/>
    <w:uiPriority w:val="33"/>
    <w:qFormat/>
    <w:rsid w:val="00FD1099"/>
    <w:rPr>
      <w:b/>
      <w:bCs/>
      <w:smallCaps/>
      <w:color w:val="auto"/>
    </w:rPr>
  </w:style>
  <w:style w:type="table" w:customStyle="1" w:styleId="Jasnalistaakcent113">
    <w:name w:val="Jasna lista — akcent 113"/>
    <w:basedOn w:val="Standardowy"/>
    <w:next w:val="Jasnalistaakcent1"/>
    <w:uiPriority w:val="61"/>
    <w:rsid w:val="00F62E4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Jasnalistaakcent131">
    <w:name w:val="Jasna lista — akcent 131"/>
    <w:basedOn w:val="Standardowy"/>
    <w:next w:val="Jasnalistaakcent1"/>
    <w:uiPriority w:val="61"/>
    <w:rsid w:val="00506B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asnalistaakcent112">
    <w:name w:val="Jasna lista — akcent 112"/>
    <w:basedOn w:val="Standardowy"/>
    <w:next w:val="Jasnalistaakcent1"/>
    <w:uiPriority w:val="61"/>
    <w:rsid w:val="000B083B"/>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2537">
      <w:bodyDiv w:val="1"/>
      <w:marLeft w:val="0"/>
      <w:marRight w:val="0"/>
      <w:marTop w:val="0"/>
      <w:marBottom w:val="0"/>
      <w:divBdr>
        <w:top w:val="none" w:sz="0" w:space="0" w:color="auto"/>
        <w:left w:val="none" w:sz="0" w:space="0" w:color="auto"/>
        <w:bottom w:val="none" w:sz="0" w:space="0" w:color="auto"/>
        <w:right w:val="none" w:sz="0" w:space="0" w:color="auto"/>
      </w:divBdr>
    </w:div>
    <w:div w:id="130708025">
      <w:bodyDiv w:val="1"/>
      <w:marLeft w:val="0"/>
      <w:marRight w:val="0"/>
      <w:marTop w:val="0"/>
      <w:marBottom w:val="0"/>
      <w:divBdr>
        <w:top w:val="none" w:sz="0" w:space="0" w:color="auto"/>
        <w:left w:val="none" w:sz="0" w:space="0" w:color="auto"/>
        <w:bottom w:val="none" w:sz="0" w:space="0" w:color="auto"/>
        <w:right w:val="none" w:sz="0" w:space="0" w:color="auto"/>
      </w:divBdr>
    </w:div>
    <w:div w:id="152063664">
      <w:bodyDiv w:val="1"/>
      <w:marLeft w:val="0"/>
      <w:marRight w:val="0"/>
      <w:marTop w:val="0"/>
      <w:marBottom w:val="0"/>
      <w:divBdr>
        <w:top w:val="none" w:sz="0" w:space="0" w:color="auto"/>
        <w:left w:val="none" w:sz="0" w:space="0" w:color="auto"/>
        <w:bottom w:val="none" w:sz="0" w:space="0" w:color="auto"/>
        <w:right w:val="none" w:sz="0" w:space="0" w:color="auto"/>
      </w:divBdr>
    </w:div>
    <w:div w:id="157812106">
      <w:bodyDiv w:val="1"/>
      <w:marLeft w:val="0"/>
      <w:marRight w:val="0"/>
      <w:marTop w:val="0"/>
      <w:marBottom w:val="0"/>
      <w:divBdr>
        <w:top w:val="none" w:sz="0" w:space="0" w:color="auto"/>
        <w:left w:val="none" w:sz="0" w:space="0" w:color="auto"/>
        <w:bottom w:val="none" w:sz="0" w:space="0" w:color="auto"/>
        <w:right w:val="none" w:sz="0" w:space="0" w:color="auto"/>
      </w:divBdr>
    </w:div>
    <w:div w:id="277640680">
      <w:bodyDiv w:val="1"/>
      <w:marLeft w:val="0"/>
      <w:marRight w:val="0"/>
      <w:marTop w:val="0"/>
      <w:marBottom w:val="0"/>
      <w:divBdr>
        <w:top w:val="none" w:sz="0" w:space="0" w:color="auto"/>
        <w:left w:val="none" w:sz="0" w:space="0" w:color="auto"/>
        <w:bottom w:val="none" w:sz="0" w:space="0" w:color="auto"/>
        <w:right w:val="none" w:sz="0" w:space="0" w:color="auto"/>
      </w:divBdr>
    </w:div>
    <w:div w:id="287592947">
      <w:bodyDiv w:val="1"/>
      <w:marLeft w:val="0"/>
      <w:marRight w:val="0"/>
      <w:marTop w:val="0"/>
      <w:marBottom w:val="0"/>
      <w:divBdr>
        <w:top w:val="none" w:sz="0" w:space="0" w:color="auto"/>
        <w:left w:val="none" w:sz="0" w:space="0" w:color="auto"/>
        <w:bottom w:val="none" w:sz="0" w:space="0" w:color="auto"/>
        <w:right w:val="none" w:sz="0" w:space="0" w:color="auto"/>
      </w:divBdr>
    </w:div>
    <w:div w:id="319693852">
      <w:bodyDiv w:val="1"/>
      <w:marLeft w:val="0"/>
      <w:marRight w:val="0"/>
      <w:marTop w:val="0"/>
      <w:marBottom w:val="0"/>
      <w:divBdr>
        <w:top w:val="none" w:sz="0" w:space="0" w:color="auto"/>
        <w:left w:val="none" w:sz="0" w:space="0" w:color="auto"/>
        <w:bottom w:val="none" w:sz="0" w:space="0" w:color="auto"/>
        <w:right w:val="none" w:sz="0" w:space="0" w:color="auto"/>
      </w:divBdr>
    </w:div>
    <w:div w:id="346758564">
      <w:bodyDiv w:val="1"/>
      <w:marLeft w:val="0"/>
      <w:marRight w:val="0"/>
      <w:marTop w:val="0"/>
      <w:marBottom w:val="0"/>
      <w:divBdr>
        <w:top w:val="none" w:sz="0" w:space="0" w:color="auto"/>
        <w:left w:val="none" w:sz="0" w:space="0" w:color="auto"/>
        <w:bottom w:val="none" w:sz="0" w:space="0" w:color="auto"/>
        <w:right w:val="none" w:sz="0" w:space="0" w:color="auto"/>
      </w:divBdr>
    </w:div>
    <w:div w:id="357392348">
      <w:bodyDiv w:val="1"/>
      <w:marLeft w:val="0"/>
      <w:marRight w:val="0"/>
      <w:marTop w:val="0"/>
      <w:marBottom w:val="0"/>
      <w:divBdr>
        <w:top w:val="none" w:sz="0" w:space="0" w:color="auto"/>
        <w:left w:val="none" w:sz="0" w:space="0" w:color="auto"/>
        <w:bottom w:val="none" w:sz="0" w:space="0" w:color="auto"/>
        <w:right w:val="none" w:sz="0" w:space="0" w:color="auto"/>
      </w:divBdr>
    </w:div>
    <w:div w:id="368259739">
      <w:bodyDiv w:val="1"/>
      <w:marLeft w:val="0"/>
      <w:marRight w:val="0"/>
      <w:marTop w:val="0"/>
      <w:marBottom w:val="0"/>
      <w:divBdr>
        <w:top w:val="none" w:sz="0" w:space="0" w:color="auto"/>
        <w:left w:val="none" w:sz="0" w:space="0" w:color="auto"/>
        <w:bottom w:val="none" w:sz="0" w:space="0" w:color="auto"/>
        <w:right w:val="none" w:sz="0" w:space="0" w:color="auto"/>
      </w:divBdr>
    </w:div>
    <w:div w:id="378357571">
      <w:bodyDiv w:val="1"/>
      <w:marLeft w:val="0"/>
      <w:marRight w:val="0"/>
      <w:marTop w:val="0"/>
      <w:marBottom w:val="0"/>
      <w:divBdr>
        <w:top w:val="none" w:sz="0" w:space="0" w:color="auto"/>
        <w:left w:val="none" w:sz="0" w:space="0" w:color="auto"/>
        <w:bottom w:val="none" w:sz="0" w:space="0" w:color="auto"/>
        <w:right w:val="none" w:sz="0" w:space="0" w:color="auto"/>
      </w:divBdr>
    </w:div>
    <w:div w:id="408578367">
      <w:bodyDiv w:val="1"/>
      <w:marLeft w:val="0"/>
      <w:marRight w:val="0"/>
      <w:marTop w:val="0"/>
      <w:marBottom w:val="0"/>
      <w:divBdr>
        <w:top w:val="none" w:sz="0" w:space="0" w:color="auto"/>
        <w:left w:val="none" w:sz="0" w:space="0" w:color="auto"/>
        <w:bottom w:val="none" w:sz="0" w:space="0" w:color="auto"/>
        <w:right w:val="none" w:sz="0" w:space="0" w:color="auto"/>
      </w:divBdr>
    </w:div>
    <w:div w:id="424300239">
      <w:bodyDiv w:val="1"/>
      <w:marLeft w:val="0"/>
      <w:marRight w:val="0"/>
      <w:marTop w:val="0"/>
      <w:marBottom w:val="0"/>
      <w:divBdr>
        <w:top w:val="none" w:sz="0" w:space="0" w:color="auto"/>
        <w:left w:val="none" w:sz="0" w:space="0" w:color="auto"/>
        <w:bottom w:val="none" w:sz="0" w:space="0" w:color="auto"/>
        <w:right w:val="none" w:sz="0" w:space="0" w:color="auto"/>
      </w:divBdr>
    </w:div>
    <w:div w:id="433476568">
      <w:bodyDiv w:val="1"/>
      <w:marLeft w:val="0"/>
      <w:marRight w:val="0"/>
      <w:marTop w:val="0"/>
      <w:marBottom w:val="0"/>
      <w:divBdr>
        <w:top w:val="none" w:sz="0" w:space="0" w:color="auto"/>
        <w:left w:val="none" w:sz="0" w:space="0" w:color="auto"/>
        <w:bottom w:val="none" w:sz="0" w:space="0" w:color="auto"/>
        <w:right w:val="none" w:sz="0" w:space="0" w:color="auto"/>
      </w:divBdr>
    </w:div>
    <w:div w:id="462121486">
      <w:bodyDiv w:val="1"/>
      <w:marLeft w:val="0"/>
      <w:marRight w:val="0"/>
      <w:marTop w:val="0"/>
      <w:marBottom w:val="0"/>
      <w:divBdr>
        <w:top w:val="none" w:sz="0" w:space="0" w:color="auto"/>
        <w:left w:val="none" w:sz="0" w:space="0" w:color="auto"/>
        <w:bottom w:val="none" w:sz="0" w:space="0" w:color="auto"/>
        <w:right w:val="none" w:sz="0" w:space="0" w:color="auto"/>
      </w:divBdr>
    </w:div>
    <w:div w:id="480772763">
      <w:bodyDiv w:val="1"/>
      <w:marLeft w:val="0"/>
      <w:marRight w:val="0"/>
      <w:marTop w:val="0"/>
      <w:marBottom w:val="0"/>
      <w:divBdr>
        <w:top w:val="none" w:sz="0" w:space="0" w:color="auto"/>
        <w:left w:val="none" w:sz="0" w:space="0" w:color="auto"/>
        <w:bottom w:val="none" w:sz="0" w:space="0" w:color="auto"/>
        <w:right w:val="none" w:sz="0" w:space="0" w:color="auto"/>
      </w:divBdr>
    </w:div>
    <w:div w:id="542864700">
      <w:bodyDiv w:val="1"/>
      <w:marLeft w:val="0"/>
      <w:marRight w:val="0"/>
      <w:marTop w:val="0"/>
      <w:marBottom w:val="0"/>
      <w:divBdr>
        <w:top w:val="none" w:sz="0" w:space="0" w:color="auto"/>
        <w:left w:val="none" w:sz="0" w:space="0" w:color="auto"/>
        <w:bottom w:val="none" w:sz="0" w:space="0" w:color="auto"/>
        <w:right w:val="none" w:sz="0" w:space="0" w:color="auto"/>
      </w:divBdr>
    </w:div>
    <w:div w:id="582109880">
      <w:bodyDiv w:val="1"/>
      <w:marLeft w:val="0"/>
      <w:marRight w:val="0"/>
      <w:marTop w:val="0"/>
      <w:marBottom w:val="0"/>
      <w:divBdr>
        <w:top w:val="none" w:sz="0" w:space="0" w:color="auto"/>
        <w:left w:val="none" w:sz="0" w:space="0" w:color="auto"/>
        <w:bottom w:val="none" w:sz="0" w:space="0" w:color="auto"/>
        <w:right w:val="none" w:sz="0" w:space="0" w:color="auto"/>
      </w:divBdr>
    </w:div>
    <w:div w:id="621306849">
      <w:bodyDiv w:val="1"/>
      <w:marLeft w:val="0"/>
      <w:marRight w:val="0"/>
      <w:marTop w:val="0"/>
      <w:marBottom w:val="0"/>
      <w:divBdr>
        <w:top w:val="none" w:sz="0" w:space="0" w:color="auto"/>
        <w:left w:val="none" w:sz="0" w:space="0" w:color="auto"/>
        <w:bottom w:val="none" w:sz="0" w:space="0" w:color="auto"/>
        <w:right w:val="none" w:sz="0" w:space="0" w:color="auto"/>
      </w:divBdr>
    </w:div>
    <w:div w:id="638386871">
      <w:bodyDiv w:val="1"/>
      <w:marLeft w:val="0"/>
      <w:marRight w:val="0"/>
      <w:marTop w:val="0"/>
      <w:marBottom w:val="0"/>
      <w:divBdr>
        <w:top w:val="none" w:sz="0" w:space="0" w:color="auto"/>
        <w:left w:val="none" w:sz="0" w:space="0" w:color="auto"/>
        <w:bottom w:val="none" w:sz="0" w:space="0" w:color="auto"/>
        <w:right w:val="none" w:sz="0" w:space="0" w:color="auto"/>
      </w:divBdr>
    </w:div>
    <w:div w:id="702677918">
      <w:bodyDiv w:val="1"/>
      <w:marLeft w:val="0"/>
      <w:marRight w:val="0"/>
      <w:marTop w:val="0"/>
      <w:marBottom w:val="0"/>
      <w:divBdr>
        <w:top w:val="none" w:sz="0" w:space="0" w:color="auto"/>
        <w:left w:val="none" w:sz="0" w:space="0" w:color="auto"/>
        <w:bottom w:val="none" w:sz="0" w:space="0" w:color="auto"/>
        <w:right w:val="none" w:sz="0" w:space="0" w:color="auto"/>
      </w:divBdr>
    </w:div>
    <w:div w:id="782311542">
      <w:bodyDiv w:val="1"/>
      <w:marLeft w:val="0"/>
      <w:marRight w:val="0"/>
      <w:marTop w:val="0"/>
      <w:marBottom w:val="0"/>
      <w:divBdr>
        <w:top w:val="none" w:sz="0" w:space="0" w:color="auto"/>
        <w:left w:val="none" w:sz="0" w:space="0" w:color="auto"/>
        <w:bottom w:val="none" w:sz="0" w:space="0" w:color="auto"/>
        <w:right w:val="none" w:sz="0" w:space="0" w:color="auto"/>
      </w:divBdr>
    </w:div>
    <w:div w:id="790125053">
      <w:bodyDiv w:val="1"/>
      <w:marLeft w:val="0"/>
      <w:marRight w:val="0"/>
      <w:marTop w:val="0"/>
      <w:marBottom w:val="0"/>
      <w:divBdr>
        <w:top w:val="none" w:sz="0" w:space="0" w:color="auto"/>
        <w:left w:val="none" w:sz="0" w:space="0" w:color="auto"/>
        <w:bottom w:val="none" w:sz="0" w:space="0" w:color="auto"/>
        <w:right w:val="none" w:sz="0" w:space="0" w:color="auto"/>
      </w:divBdr>
    </w:div>
    <w:div w:id="831337642">
      <w:bodyDiv w:val="1"/>
      <w:marLeft w:val="0"/>
      <w:marRight w:val="0"/>
      <w:marTop w:val="0"/>
      <w:marBottom w:val="0"/>
      <w:divBdr>
        <w:top w:val="none" w:sz="0" w:space="0" w:color="auto"/>
        <w:left w:val="none" w:sz="0" w:space="0" w:color="auto"/>
        <w:bottom w:val="none" w:sz="0" w:space="0" w:color="auto"/>
        <w:right w:val="none" w:sz="0" w:space="0" w:color="auto"/>
      </w:divBdr>
    </w:div>
    <w:div w:id="869143206">
      <w:bodyDiv w:val="1"/>
      <w:marLeft w:val="0"/>
      <w:marRight w:val="0"/>
      <w:marTop w:val="0"/>
      <w:marBottom w:val="0"/>
      <w:divBdr>
        <w:top w:val="none" w:sz="0" w:space="0" w:color="auto"/>
        <w:left w:val="none" w:sz="0" w:space="0" w:color="auto"/>
        <w:bottom w:val="none" w:sz="0" w:space="0" w:color="auto"/>
        <w:right w:val="none" w:sz="0" w:space="0" w:color="auto"/>
      </w:divBdr>
    </w:div>
    <w:div w:id="938224186">
      <w:bodyDiv w:val="1"/>
      <w:marLeft w:val="0"/>
      <w:marRight w:val="0"/>
      <w:marTop w:val="0"/>
      <w:marBottom w:val="0"/>
      <w:divBdr>
        <w:top w:val="none" w:sz="0" w:space="0" w:color="auto"/>
        <w:left w:val="none" w:sz="0" w:space="0" w:color="auto"/>
        <w:bottom w:val="none" w:sz="0" w:space="0" w:color="auto"/>
        <w:right w:val="none" w:sz="0" w:space="0" w:color="auto"/>
      </w:divBdr>
    </w:div>
    <w:div w:id="969943173">
      <w:bodyDiv w:val="1"/>
      <w:marLeft w:val="0"/>
      <w:marRight w:val="0"/>
      <w:marTop w:val="0"/>
      <w:marBottom w:val="0"/>
      <w:divBdr>
        <w:top w:val="none" w:sz="0" w:space="0" w:color="auto"/>
        <w:left w:val="none" w:sz="0" w:space="0" w:color="auto"/>
        <w:bottom w:val="none" w:sz="0" w:space="0" w:color="auto"/>
        <w:right w:val="none" w:sz="0" w:space="0" w:color="auto"/>
      </w:divBdr>
    </w:div>
    <w:div w:id="982007144">
      <w:bodyDiv w:val="1"/>
      <w:marLeft w:val="0"/>
      <w:marRight w:val="0"/>
      <w:marTop w:val="0"/>
      <w:marBottom w:val="0"/>
      <w:divBdr>
        <w:top w:val="none" w:sz="0" w:space="0" w:color="auto"/>
        <w:left w:val="none" w:sz="0" w:space="0" w:color="auto"/>
        <w:bottom w:val="none" w:sz="0" w:space="0" w:color="auto"/>
        <w:right w:val="none" w:sz="0" w:space="0" w:color="auto"/>
      </w:divBdr>
    </w:div>
    <w:div w:id="998924295">
      <w:bodyDiv w:val="1"/>
      <w:marLeft w:val="0"/>
      <w:marRight w:val="0"/>
      <w:marTop w:val="0"/>
      <w:marBottom w:val="0"/>
      <w:divBdr>
        <w:top w:val="none" w:sz="0" w:space="0" w:color="auto"/>
        <w:left w:val="none" w:sz="0" w:space="0" w:color="auto"/>
        <w:bottom w:val="none" w:sz="0" w:space="0" w:color="auto"/>
        <w:right w:val="none" w:sz="0" w:space="0" w:color="auto"/>
      </w:divBdr>
    </w:div>
    <w:div w:id="1016005081">
      <w:bodyDiv w:val="1"/>
      <w:marLeft w:val="0"/>
      <w:marRight w:val="0"/>
      <w:marTop w:val="0"/>
      <w:marBottom w:val="0"/>
      <w:divBdr>
        <w:top w:val="none" w:sz="0" w:space="0" w:color="auto"/>
        <w:left w:val="none" w:sz="0" w:space="0" w:color="auto"/>
        <w:bottom w:val="none" w:sz="0" w:space="0" w:color="auto"/>
        <w:right w:val="none" w:sz="0" w:space="0" w:color="auto"/>
      </w:divBdr>
    </w:div>
    <w:div w:id="1026909807">
      <w:bodyDiv w:val="1"/>
      <w:marLeft w:val="0"/>
      <w:marRight w:val="0"/>
      <w:marTop w:val="0"/>
      <w:marBottom w:val="0"/>
      <w:divBdr>
        <w:top w:val="none" w:sz="0" w:space="0" w:color="auto"/>
        <w:left w:val="none" w:sz="0" w:space="0" w:color="auto"/>
        <w:bottom w:val="none" w:sz="0" w:space="0" w:color="auto"/>
        <w:right w:val="none" w:sz="0" w:space="0" w:color="auto"/>
      </w:divBdr>
    </w:div>
    <w:div w:id="1046876114">
      <w:bodyDiv w:val="1"/>
      <w:marLeft w:val="0"/>
      <w:marRight w:val="0"/>
      <w:marTop w:val="0"/>
      <w:marBottom w:val="0"/>
      <w:divBdr>
        <w:top w:val="none" w:sz="0" w:space="0" w:color="auto"/>
        <w:left w:val="none" w:sz="0" w:space="0" w:color="auto"/>
        <w:bottom w:val="none" w:sz="0" w:space="0" w:color="auto"/>
        <w:right w:val="none" w:sz="0" w:space="0" w:color="auto"/>
      </w:divBdr>
    </w:div>
    <w:div w:id="1058091910">
      <w:bodyDiv w:val="1"/>
      <w:marLeft w:val="0"/>
      <w:marRight w:val="0"/>
      <w:marTop w:val="0"/>
      <w:marBottom w:val="0"/>
      <w:divBdr>
        <w:top w:val="none" w:sz="0" w:space="0" w:color="auto"/>
        <w:left w:val="none" w:sz="0" w:space="0" w:color="auto"/>
        <w:bottom w:val="none" w:sz="0" w:space="0" w:color="auto"/>
        <w:right w:val="none" w:sz="0" w:space="0" w:color="auto"/>
      </w:divBdr>
    </w:div>
    <w:div w:id="1059552546">
      <w:bodyDiv w:val="1"/>
      <w:marLeft w:val="0"/>
      <w:marRight w:val="0"/>
      <w:marTop w:val="0"/>
      <w:marBottom w:val="0"/>
      <w:divBdr>
        <w:top w:val="none" w:sz="0" w:space="0" w:color="auto"/>
        <w:left w:val="none" w:sz="0" w:space="0" w:color="auto"/>
        <w:bottom w:val="none" w:sz="0" w:space="0" w:color="auto"/>
        <w:right w:val="none" w:sz="0" w:space="0" w:color="auto"/>
      </w:divBdr>
    </w:div>
    <w:div w:id="1064641204">
      <w:bodyDiv w:val="1"/>
      <w:marLeft w:val="0"/>
      <w:marRight w:val="0"/>
      <w:marTop w:val="0"/>
      <w:marBottom w:val="0"/>
      <w:divBdr>
        <w:top w:val="none" w:sz="0" w:space="0" w:color="auto"/>
        <w:left w:val="none" w:sz="0" w:space="0" w:color="auto"/>
        <w:bottom w:val="none" w:sz="0" w:space="0" w:color="auto"/>
        <w:right w:val="none" w:sz="0" w:space="0" w:color="auto"/>
      </w:divBdr>
    </w:div>
    <w:div w:id="1081565806">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5827466">
      <w:bodyDiv w:val="1"/>
      <w:marLeft w:val="0"/>
      <w:marRight w:val="0"/>
      <w:marTop w:val="0"/>
      <w:marBottom w:val="0"/>
      <w:divBdr>
        <w:top w:val="none" w:sz="0" w:space="0" w:color="auto"/>
        <w:left w:val="none" w:sz="0" w:space="0" w:color="auto"/>
        <w:bottom w:val="none" w:sz="0" w:space="0" w:color="auto"/>
        <w:right w:val="none" w:sz="0" w:space="0" w:color="auto"/>
      </w:divBdr>
    </w:div>
    <w:div w:id="1099568430">
      <w:bodyDiv w:val="1"/>
      <w:marLeft w:val="0"/>
      <w:marRight w:val="0"/>
      <w:marTop w:val="0"/>
      <w:marBottom w:val="0"/>
      <w:divBdr>
        <w:top w:val="none" w:sz="0" w:space="0" w:color="auto"/>
        <w:left w:val="none" w:sz="0" w:space="0" w:color="auto"/>
        <w:bottom w:val="none" w:sz="0" w:space="0" w:color="auto"/>
        <w:right w:val="none" w:sz="0" w:space="0" w:color="auto"/>
      </w:divBdr>
    </w:div>
    <w:div w:id="1100564010">
      <w:bodyDiv w:val="1"/>
      <w:marLeft w:val="0"/>
      <w:marRight w:val="0"/>
      <w:marTop w:val="0"/>
      <w:marBottom w:val="0"/>
      <w:divBdr>
        <w:top w:val="none" w:sz="0" w:space="0" w:color="auto"/>
        <w:left w:val="none" w:sz="0" w:space="0" w:color="auto"/>
        <w:bottom w:val="none" w:sz="0" w:space="0" w:color="auto"/>
        <w:right w:val="none" w:sz="0" w:space="0" w:color="auto"/>
      </w:divBdr>
    </w:div>
    <w:div w:id="1107624093">
      <w:bodyDiv w:val="1"/>
      <w:marLeft w:val="0"/>
      <w:marRight w:val="0"/>
      <w:marTop w:val="0"/>
      <w:marBottom w:val="0"/>
      <w:divBdr>
        <w:top w:val="none" w:sz="0" w:space="0" w:color="auto"/>
        <w:left w:val="none" w:sz="0" w:space="0" w:color="auto"/>
        <w:bottom w:val="none" w:sz="0" w:space="0" w:color="auto"/>
        <w:right w:val="none" w:sz="0" w:space="0" w:color="auto"/>
      </w:divBdr>
    </w:div>
    <w:div w:id="1171095457">
      <w:bodyDiv w:val="1"/>
      <w:marLeft w:val="0"/>
      <w:marRight w:val="0"/>
      <w:marTop w:val="0"/>
      <w:marBottom w:val="0"/>
      <w:divBdr>
        <w:top w:val="none" w:sz="0" w:space="0" w:color="auto"/>
        <w:left w:val="none" w:sz="0" w:space="0" w:color="auto"/>
        <w:bottom w:val="none" w:sz="0" w:space="0" w:color="auto"/>
        <w:right w:val="none" w:sz="0" w:space="0" w:color="auto"/>
      </w:divBdr>
    </w:div>
    <w:div w:id="1182546253">
      <w:bodyDiv w:val="1"/>
      <w:marLeft w:val="0"/>
      <w:marRight w:val="0"/>
      <w:marTop w:val="0"/>
      <w:marBottom w:val="0"/>
      <w:divBdr>
        <w:top w:val="none" w:sz="0" w:space="0" w:color="auto"/>
        <w:left w:val="none" w:sz="0" w:space="0" w:color="auto"/>
        <w:bottom w:val="none" w:sz="0" w:space="0" w:color="auto"/>
        <w:right w:val="none" w:sz="0" w:space="0" w:color="auto"/>
      </w:divBdr>
    </w:div>
    <w:div w:id="1191720316">
      <w:bodyDiv w:val="1"/>
      <w:marLeft w:val="0"/>
      <w:marRight w:val="0"/>
      <w:marTop w:val="0"/>
      <w:marBottom w:val="0"/>
      <w:divBdr>
        <w:top w:val="none" w:sz="0" w:space="0" w:color="auto"/>
        <w:left w:val="none" w:sz="0" w:space="0" w:color="auto"/>
        <w:bottom w:val="none" w:sz="0" w:space="0" w:color="auto"/>
        <w:right w:val="none" w:sz="0" w:space="0" w:color="auto"/>
      </w:divBdr>
    </w:div>
    <w:div w:id="1244291867">
      <w:bodyDiv w:val="1"/>
      <w:marLeft w:val="0"/>
      <w:marRight w:val="0"/>
      <w:marTop w:val="0"/>
      <w:marBottom w:val="0"/>
      <w:divBdr>
        <w:top w:val="none" w:sz="0" w:space="0" w:color="auto"/>
        <w:left w:val="none" w:sz="0" w:space="0" w:color="auto"/>
        <w:bottom w:val="none" w:sz="0" w:space="0" w:color="auto"/>
        <w:right w:val="none" w:sz="0" w:space="0" w:color="auto"/>
      </w:divBdr>
    </w:div>
    <w:div w:id="1280717270">
      <w:bodyDiv w:val="1"/>
      <w:marLeft w:val="0"/>
      <w:marRight w:val="0"/>
      <w:marTop w:val="0"/>
      <w:marBottom w:val="0"/>
      <w:divBdr>
        <w:top w:val="none" w:sz="0" w:space="0" w:color="auto"/>
        <w:left w:val="none" w:sz="0" w:space="0" w:color="auto"/>
        <w:bottom w:val="none" w:sz="0" w:space="0" w:color="auto"/>
        <w:right w:val="none" w:sz="0" w:space="0" w:color="auto"/>
      </w:divBdr>
    </w:div>
    <w:div w:id="1283075480">
      <w:bodyDiv w:val="1"/>
      <w:marLeft w:val="0"/>
      <w:marRight w:val="0"/>
      <w:marTop w:val="0"/>
      <w:marBottom w:val="0"/>
      <w:divBdr>
        <w:top w:val="none" w:sz="0" w:space="0" w:color="auto"/>
        <w:left w:val="none" w:sz="0" w:space="0" w:color="auto"/>
        <w:bottom w:val="none" w:sz="0" w:space="0" w:color="auto"/>
        <w:right w:val="none" w:sz="0" w:space="0" w:color="auto"/>
      </w:divBdr>
    </w:div>
    <w:div w:id="1350257897">
      <w:bodyDiv w:val="1"/>
      <w:marLeft w:val="0"/>
      <w:marRight w:val="0"/>
      <w:marTop w:val="0"/>
      <w:marBottom w:val="0"/>
      <w:divBdr>
        <w:top w:val="none" w:sz="0" w:space="0" w:color="auto"/>
        <w:left w:val="none" w:sz="0" w:space="0" w:color="auto"/>
        <w:bottom w:val="none" w:sz="0" w:space="0" w:color="auto"/>
        <w:right w:val="none" w:sz="0" w:space="0" w:color="auto"/>
      </w:divBdr>
    </w:div>
    <w:div w:id="1353608018">
      <w:bodyDiv w:val="1"/>
      <w:marLeft w:val="0"/>
      <w:marRight w:val="0"/>
      <w:marTop w:val="0"/>
      <w:marBottom w:val="0"/>
      <w:divBdr>
        <w:top w:val="none" w:sz="0" w:space="0" w:color="auto"/>
        <w:left w:val="none" w:sz="0" w:space="0" w:color="auto"/>
        <w:bottom w:val="none" w:sz="0" w:space="0" w:color="auto"/>
        <w:right w:val="none" w:sz="0" w:space="0" w:color="auto"/>
      </w:divBdr>
    </w:div>
    <w:div w:id="1358653020">
      <w:bodyDiv w:val="1"/>
      <w:marLeft w:val="0"/>
      <w:marRight w:val="0"/>
      <w:marTop w:val="0"/>
      <w:marBottom w:val="0"/>
      <w:divBdr>
        <w:top w:val="none" w:sz="0" w:space="0" w:color="auto"/>
        <w:left w:val="none" w:sz="0" w:space="0" w:color="auto"/>
        <w:bottom w:val="none" w:sz="0" w:space="0" w:color="auto"/>
        <w:right w:val="none" w:sz="0" w:space="0" w:color="auto"/>
      </w:divBdr>
    </w:div>
    <w:div w:id="1370644412">
      <w:bodyDiv w:val="1"/>
      <w:marLeft w:val="0"/>
      <w:marRight w:val="0"/>
      <w:marTop w:val="0"/>
      <w:marBottom w:val="0"/>
      <w:divBdr>
        <w:top w:val="none" w:sz="0" w:space="0" w:color="auto"/>
        <w:left w:val="none" w:sz="0" w:space="0" w:color="auto"/>
        <w:bottom w:val="none" w:sz="0" w:space="0" w:color="auto"/>
        <w:right w:val="none" w:sz="0" w:space="0" w:color="auto"/>
      </w:divBdr>
    </w:div>
    <w:div w:id="1386291306">
      <w:bodyDiv w:val="1"/>
      <w:marLeft w:val="0"/>
      <w:marRight w:val="0"/>
      <w:marTop w:val="0"/>
      <w:marBottom w:val="0"/>
      <w:divBdr>
        <w:top w:val="none" w:sz="0" w:space="0" w:color="auto"/>
        <w:left w:val="none" w:sz="0" w:space="0" w:color="auto"/>
        <w:bottom w:val="none" w:sz="0" w:space="0" w:color="auto"/>
        <w:right w:val="none" w:sz="0" w:space="0" w:color="auto"/>
      </w:divBdr>
    </w:div>
    <w:div w:id="1415278528">
      <w:bodyDiv w:val="1"/>
      <w:marLeft w:val="0"/>
      <w:marRight w:val="0"/>
      <w:marTop w:val="0"/>
      <w:marBottom w:val="0"/>
      <w:divBdr>
        <w:top w:val="none" w:sz="0" w:space="0" w:color="auto"/>
        <w:left w:val="none" w:sz="0" w:space="0" w:color="auto"/>
        <w:bottom w:val="none" w:sz="0" w:space="0" w:color="auto"/>
        <w:right w:val="none" w:sz="0" w:space="0" w:color="auto"/>
      </w:divBdr>
    </w:div>
    <w:div w:id="1451322697">
      <w:bodyDiv w:val="1"/>
      <w:marLeft w:val="0"/>
      <w:marRight w:val="0"/>
      <w:marTop w:val="0"/>
      <w:marBottom w:val="0"/>
      <w:divBdr>
        <w:top w:val="none" w:sz="0" w:space="0" w:color="auto"/>
        <w:left w:val="none" w:sz="0" w:space="0" w:color="auto"/>
        <w:bottom w:val="none" w:sz="0" w:space="0" w:color="auto"/>
        <w:right w:val="none" w:sz="0" w:space="0" w:color="auto"/>
      </w:divBdr>
    </w:div>
    <w:div w:id="1453785748">
      <w:bodyDiv w:val="1"/>
      <w:marLeft w:val="0"/>
      <w:marRight w:val="0"/>
      <w:marTop w:val="0"/>
      <w:marBottom w:val="0"/>
      <w:divBdr>
        <w:top w:val="none" w:sz="0" w:space="0" w:color="auto"/>
        <w:left w:val="none" w:sz="0" w:space="0" w:color="auto"/>
        <w:bottom w:val="none" w:sz="0" w:space="0" w:color="auto"/>
        <w:right w:val="none" w:sz="0" w:space="0" w:color="auto"/>
      </w:divBdr>
    </w:div>
    <w:div w:id="1453937855">
      <w:bodyDiv w:val="1"/>
      <w:marLeft w:val="0"/>
      <w:marRight w:val="0"/>
      <w:marTop w:val="0"/>
      <w:marBottom w:val="0"/>
      <w:divBdr>
        <w:top w:val="none" w:sz="0" w:space="0" w:color="auto"/>
        <w:left w:val="none" w:sz="0" w:space="0" w:color="auto"/>
        <w:bottom w:val="none" w:sz="0" w:space="0" w:color="auto"/>
        <w:right w:val="none" w:sz="0" w:space="0" w:color="auto"/>
      </w:divBdr>
    </w:div>
    <w:div w:id="1457334647">
      <w:bodyDiv w:val="1"/>
      <w:marLeft w:val="0"/>
      <w:marRight w:val="0"/>
      <w:marTop w:val="0"/>
      <w:marBottom w:val="0"/>
      <w:divBdr>
        <w:top w:val="none" w:sz="0" w:space="0" w:color="auto"/>
        <w:left w:val="none" w:sz="0" w:space="0" w:color="auto"/>
        <w:bottom w:val="none" w:sz="0" w:space="0" w:color="auto"/>
        <w:right w:val="none" w:sz="0" w:space="0" w:color="auto"/>
      </w:divBdr>
    </w:div>
    <w:div w:id="1478572367">
      <w:bodyDiv w:val="1"/>
      <w:marLeft w:val="0"/>
      <w:marRight w:val="0"/>
      <w:marTop w:val="0"/>
      <w:marBottom w:val="0"/>
      <w:divBdr>
        <w:top w:val="none" w:sz="0" w:space="0" w:color="auto"/>
        <w:left w:val="none" w:sz="0" w:space="0" w:color="auto"/>
        <w:bottom w:val="none" w:sz="0" w:space="0" w:color="auto"/>
        <w:right w:val="none" w:sz="0" w:space="0" w:color="auto"/>
      </w:divBdr>
    </w:div>
    <w:div w:id="1489325020">
      <w:bodyDiv w:val="1"/>
      <w:marLeft w:val="0"/>
      <w:marRight w:val="0"/>
      <w:marTop w:val="0"/>
      <w:marBottom w:val="0"/>
      <w:divBdr>
        <w:top w:val="none" w:sz="0" w:space="0" w:color="auto"/>
        <w:left w:val="none" w:sz="0" w:space="0" w:color="auto"/>
        <w:bottom w:val="none" w:sz="0" w:space="0" w:color="auto"/>
        <w:right w:val="none" w:sz="0" w:space="0" w:color="auto"/>
      </w:divBdr>
    </w:div>
    <w:div w:id="1503886826">
      <w:bodyDiv w:val="1"/>
      <w:marLeft w:val="0"/>
      <w:marRight w:val="0"/>
      <w:marTop w:val="0"/>
      <w:marBottom w:val="0"/>
      <w:divBdr>
        <w:top w:val="none" w:sz="0" w:space="0" w:color="auto"/>
        <w:left w:val="none" w:sz="0" w:space="0" w:color="auto"/>
        <w:bottom w:val="none" w:sz="0" w:space="0" w:color="auto"/>
        <w:right w:val="none" w:sz="0" w:space="0" w:color="auto"/>
      </w:divBdr>
    </w:div>
    <w:div w:id="1523662007">
      <w:bodyDiv w:val="1"/>
      <w:marLeft w:val="0"/>
      <w:marRight w:val="0"/>
      <w:marTop w:val="0"/>
      <w:marBottom w:val="0"/>
      <w:divBdr>
        <w:top w:val="none" w:sz="0" w:space="0" w:color="auto"/>
        <w:left w:val="none" w:sz="0" w:space="0" w:color="auto"/>
        <w:bottom w:val="none" w:sz="0" w:space="0" w:color="auto"/>
        <w:right w:val="none" w:sz="0" w:space="0" w:color="auto"/>
      </w:divBdr>
    </w:div>
    <w:div w:id="1530725025">
      <w:bodyDiv w:val="1"/>
      <w:marLeft w:val="0"/>
      <w:marRight w:val="0"/>
      <w:marTop w:val="0"/>
      <w:marBottom w:val="0"/>
      <w:divBdr>
        <w:top w:val="none" w:sz="0" w:space="0" w:color="auto"/>
        <w:left w:val="none" w:sz="0" w:space="0" w:color="auto"/>
        <w:bottom w:val="none" w:sz="0" w:space="0" w:color="auto"/>
        <w:right w:val="none" w:sz="0" w:space="0" w:color="auto"/>
      </w:divBdr>
    </w:div>
    <w:div w:id="1550415373">
      <w:bodyDiv w:val="1"/>
      <w:marLeft w:val="0"/>
      <w:marRight w:val="0"/>
      <w:marTop w:val="0"/>
      <w:marBottom w:val="0"/>
      <w:divBdr>
        <w:top w:val="none" w:sz="0" w:space="0" w:color="auto"/>
        <w:left w:val="none" w:sz="0" w:space="0" w:color="auto"/>
        <w:bottom w:val="none" w:sz="0" w:space="0" w:color="auto"/>
        <w:right w:val="none" w:sz="0" w:space="0" w:color="auto"/>
      </w:divBdr>
    </w:div>
    <w:div w:id="1557932521">
      <w:bodyDiv w:val="1"/>
      <w:marLeft w:val="0"/>
      <w:marRight w:val="0"/>
      <w:marTop w:val="0"/>
      <w:marBottom w:val="0"/>
      <w:divBdr>
        <w:top w:val="none" w:sz="0" w:space="0" w:color="auto"/>
        <w:left w:val="none" w:sz="0" w:space="0" w:color="auto"/>
        <w:bottom w:val="none" w:sz="0" w:space="0" w:color="auto"/>
        <w:right w:val="none" w:sz="0" w:space="0" w:color="auto"/>
      </w:divBdr>
    </w:div>
    <w:div w:id="1566408078">
      <w:bodyDiv w:val="1"/>
      <w:marLeft w:val="0"/>
      <w:marRight w:val="0"/>
      <w:marTop w:val="0"/>
      <w:marBottom w:val="0"/>
      <w:divBdr>
        <w:top w:val="none" w:sz="0" w:space="0" w:color="auto"/>
        <w:left w:val="none" w:sz="0" w:space="0" w:color="auto"/>
        <w:bottom w:val="none" w:sz="0" w:space="0" w:color="auto"/>
        <w:right w:val="none" w:sz="0" w:space="0" w:color="auto"/>
      </w:divBdr>
    </w:div>
    <w:div w:id="1600481437">
      <w:bodyDiv w:val="1"/>
      <w:marLeft w:val="0"/>
      <w:marRight w:val="0"/>
      <w:marTop w:val="0"/>
      <w:marBottom w:val="0"/>
      <w:divBdr>
        <w:top w:val="none" w:sz="0" w:space="0" w:color="auto"/>
        <w:left w:val="none" w:sz="0" w:space="0" w:color="auto"/>
        <w:bottom w:val="none" w:sz="0" w:space="0" w:color="auto"/>
        <w:right w:val="none" w:sz="0" w:space="0" w:color="auto"/>
      </w:divBdr>
    </w:div>
    <w:div w:id="1603221450">
      <w:bodyDiv w:val="1"/>
      <w:marLeft w:val="0"/>
      <w:marRight w:val="0"/>
      <w:marTop w:val="0"/>
      <w:marBottom w:val="0"/>
      <w:divBdr>
        <w:top w:val="none" w:sz="0" w:space="0" w:color="auto"/>
        <w:left w:val="none" w:sz="0" w:space="0" w:color="auto"/>
        <w:bottom w:val="none" w:sz="0" w:space="0" w:color="auto"/>
        <w:right w:val="none" w:sz="0" w:space="0" w:color="auto"/>
      </w:divBdr>
    </w:div>
    <w:div w:id="1632057276">
      <w:bodyDiv w:val="1"/>
      <w:marLeft w:val="0"/>
      <w:marRight w:val="0"/>
      <w:marTop w:val="0"/>
      <w:marBottom w:val="0"/>
      <w:divBdr>
        <w:top w:val="none" w:sz="0" w:space="0" w:color="auto"/>
        <w:left w:val="none" w:sz="0" w:space="0" w:color="auto"/>
        <w:bottom w:val="none" w:sz="0" w:space="0" w:color="auto"/>
        <w:right w:val="none" w:sz="0" w:space="0" w:color="auto"/>
      </w:divBdr>
    </w:div>
    <w:div w:id="1665622492">
      <w:bodyDiv w:val="1"/>
      <w:marLeft w:val="0"/>
      <w:marRight w:val="0"/>
      <w:marTop w:val="0"/>
      <w:marBottom w:val="0"/>
      <w:divBdr>
        <w:top w:val="none" w:sz="0" w:space="0" w:color="auto"/>
        <w:left w:val="none" w:sz="0" w:space="0" w:color="auto"/>
        <w:bottom w:val="none" w:sz="0" w:space="0" w:color="auto"/>
        <w:right w:val="none" w:sz="0" w:space="0" w:color="auto"/>
      </w:divBdr>
    </w:div>
    <w:div w:id="1687362631">
      <w:bodyDiv w:val="1"/>
      <w:marLeft w:val="0"/>
      <w:marRight w:val="0"/>
      <w:marTop w:val="0"/>
      <w:marBottom w:val="0"/>
      <w:divBdr>
        <w:top w:val="none" w:sz="0" w:space="0" w:color="auto"/>
        <w:left w:val="none" w:sz="0" w:space="0" w:color="auto"/>
        <w:bottom w:val="none" w:sz="0" w:space="0" w:color="auto"/>
        <w:right w:val="none" w:sz="0" w:space="0" w:color="auto"/>
      </w:divBdr>
    </w:div>
    <w:div w:id="1697928146">
      <w:bodyDiv w:val="1"/>
      <w:marLeft w:val="0"/>
      <w:marRight w:val="0"/>
      <w:marTop w:val="0"/>
      <w:marBottom w:val="0"/>
      <w:divBdr>
        <w:top w:val="none" w:sz="0" w:space="0" w:color="auto"/>
        <w:left w:val="none" w:sz="0" w:space="0" w:color="auto"/>
        <w:bottom w:val="none" w:sz="0" w:space="0" w:color="auto"/>
        <w:right w:val="none" w:sz="0" w:space="0" w:color="auto"/>
      </w:divBdr>
    </w:div>
    <w:div w:id="1737588304">
      <w:bodyDiv w:val="1"/>
      <w:marLeft w:val="0"/>
      <w:marRight w:val="0"/>
      <w:marTop w:val="0"/>
      <w:marBottom w:val="0"/>
      <w:divBdr>
        <w:top w:val="none" w:sz="0" w:space="0" w:color="auto"/>
        <w:left w:val="none" w:sz="0" w:space="0" w:color="auto"/>
        <w:bottom w:val="none" w:sz="0" w:space="0" w:color="auto"/>
        <w:right w:val="none" w:sz="0" w:space="0" w:color="auto"/>
      </w:divBdr>
    </w:div>
    <w:div w:id="1744373742">
      <w:bodyDiv w:val="1"/>
      <w:marLeft w:val="0"/>
      <w:marRight w:val="0"/>
      <w:marTop w:val="0"/>
      <w:marBottom w:val="0"/>
      <w:divBdr>
        <w:top w:val="none" w:sz="0" w:space="0" w:color="auto"/>
        <w:left w:val="none" w:sz="0" w:space="0" w:color="auto"/>
        <w:bottom w:val="none" w:sz="0" w:space="0" w:color="auto"/>
        <w:right w:val="none" w:sz="0" w:space="0" w:color="auto"/>
      </w:divBdr>
    </w:div>
    <w:div w:id="1760518424">
      <w:bodyDiv w:val="1"/>
      <w:marLeft w:val="0"/>
      <w:marRight w:val="0"/>
      <w:marTop w:val="0"/>
      <w:marBottom w:val="0"/>
      <w:divBdr>
        <w:top w:val="none" w:sz="0" w:space="0" w:color="auto"/>
        <w:left w:val="none" w:sz="0" w:space="0" w:color="auto"/>
        <w:bottom w:val="none" w:sz="0" w:space="0" w:color="auto"/>
        <w:right w:val="none" w:sz="0" w:space="0" w:color="auto"/>
      </w:divBdr>
    </w:div>
    <w:div w:id="1762291830">
      <w:bodyDiv w:val="1"/>
      <w:marLeft w:val="0"/>
      <w:marRight w:val="0"/>
      <w:marTop w:val="0"/>
      <w:marBottom w:val="0"/>
      <w:divBdr>
        <w:top w:val="none" w:sz="0" w:space="0" w:color="auto"/>
        <w:left w:val="none" w:sz="0" w:space="0" w:color="auto"/>
        <w:bottom w:val="none" w:sz="0" w:space="0" w:color="auto"/>
        <w:right w:val="none" w:sz="0" w:space="0" w:color="auto"/>
      </w:divBdr>
    </w:div>
    <w:div w:id="1765804691">
      <w:bodyDiv w:val="1"/>
      <w:marLeft w:val="0"/>
      <w:marRight w:val="0"/>
      <w:marTop w:val="0"/>
      <w:marBottom w:val="0"/>
      <w:divBdr>
        <w:top w:val="none" w:sz="0" w:space="0" w:color="auto"/>
        <w:left w:val="none" w:sz="0" w:space="0" w:color="auto"/>
        <w:bottom w:val="none" w:sz="0" w:space="0" w:color="auto"/>
        <w:right w:val="none" w:sz="0" w:space="0" w:color="auto"/>
      </w:divBdr>
    </w:div>
    <w:div w:id="1800804287">
      <w:bodyDiv w:val="1"/>
      <w:marLeft w:val="0"/>
      <w:marRight w:val="0"/>
      <w:marTop w:val="0"/>
      <w:marBottom w:val="0"/>
      <w:divBdr>
        <w:top w:val="none" w:sz="0" w:space="0" w:color="auto"/>
        <w:left w:val="none" w:sz="0" w:space="0" w:color="auto"/>
        <w:bottom w:val="none" w:sz="0" w:space="0" w:color="auto"/>
        <w:right w:val="none" w:sz="0" w:space="0" w:color="auto"/>
      </w:divBdr>
    </w:div>
    <w:div w:id="1841312062">
      <w:bodyDiv w:val="1"/>
      <w:marLeft w:val="0"/>
      <w:marRight w:val="0"/>
      <w:marTop w:val="0"/>
      <w:marBottom w:val="0"/>
      <w:divBdr>
        <w:top w:val="none" w:sz="0" w:space="0" w:color="auto"/>
        <w:left w:val="none" w:sz="0" w:space="0" w:color="auto"/>
        <w:bottom w:val="none" w:sz="0" w:space="0" w:color="auto"/>
        <w:right w:val="none" w:sz="0" w:space="0" w:color="auto"/>
      </w:divBdr>
    </w:div>
    <w:div w:id="1880126694">
      <w:bodyDiv w:val="1"/>
      <w:marLeft w:val="0"/>
      <w:marRight w:val="0"/>
      <w:marTop w:val="0"/>
      <w:marBottom w:val="0"/>
      <w:divBdr>
        <w:top w:val="none" w:sz="0" w:space="0" w:color="auto"/>
        <w:left w:val="none" w:sz="0" w:space="0" w:color="auto"/>
        <w:bottom w:val="none" w:sz="0" w:space="0" w:color="auto"/>
        <w:right w:val="none" w:sz="0" w:space="0" w:color="auto"/>
      </w:divBdr>
    </w:div>
    <w:div w:id="1921519744">
      <w:bodyDiv w:val="1"/>
      <w:marLeft w:val="0"/>
      <w:marRight w:val="0"/>
      <w:marTop w:val="0"/>
      <w:marBottom w:val="0"/>
      <w:divBdr>
        <w:top w:val="none" w:sz="0" w:space="0" w:color="auto"/>
        <w:left w:val="none" w:sz="0" w:space="0" w:color="auto"/>
        <w:bottom w:val="none" w:sz="0" w:space="0" w:color="auto"/>
        <w:right w:val="none" w:sz="0" w:space="0" w:color="auto"/>
      </w:divBdr>
    </w:div>
    <w:div w:id="1948347271">
      <w:bodyDiv w:val="1"/>
      <w:marLeft w:val="0"/>
      <w:marRight w:val="0"/>
      <w:marTop w:val="0"/>
      <w:marBottom w:val="0"/>
      <w:divBdr>
        <w:top w:val="none" w:sz="0" w:space="0" w:color="auto"/>
        <w:left w:val="none" w:sz="0" w:space="0" w:color="auto"/>
        <w:bottom w:val="none" w:sz="0" w:space="0" w:color="auto"/>
        <w:right w:val="none" w:sz="0" w:space="0" w:color="auto"/>
      </w:divBdr>
    </w:div>
    <w:div w:id="1964379904">
      <w:bodyDiv w:val="1"/>
      <w:marLeft w:val="0"/>
      <w:marRight w:val="0"/>
      <w:marTop w:val="0"/>
      <w:marBottom w:val="0"/>
      <w:divBdr>
        <w:top w:val="none" w:sz="0" w:space="0" w:color="auto"/>
        <w:left w:val="none" w:sz="0" w:space="0" w:color="auto"/>
        <w:bottom w:val="none" w:sz="0" w:space="0" w:color="auto"/>
        <w:right w:val="none" w:sz="0" w:space="0" w:color="auto"/>
      </w:divBdr>
    </w:div>
    <w:div w:id="1991791862">
      <w:bodyDiv w:val="1"/>
      <w:marLeft w:val="0"/>
      <w:marRight w:val="0"/>
      <w:marTop w:val="0"/>
      <w:marBottom w:val="0"/>
      <w:divBdr>
        <w:top w:val="none" w:sz="0" w:space="0" w:color="auto"/>
        <w:left w:val="none" w:sz="0" w:space="0" w:color="auto"/>
        <w:bottom w:val="none" w:sz="0" w:space="0" w:color="auto"/>
        <w:right w:val="none" w:sz="0" w:space="0" w:color="auto"/>
      </w:divBdr>
    </w:div>
    <w:div w:id="2034769593">
      <w:bodyDiv w:val="1"/>
      <w:marLeft w:val="0"/>
      <w:marRight w:val="0"/>
      <w:marTop w:val="0"/>
      <w:marBottom w:val="0"/>
      <w:divBdr>
        <w:top w:val="none" w:sz="0" w:space="0" w:color="auto"/>
        <w:left w:val="none" w:sz="0" w:space="0" w:color="auto"/>
        <w:bottom w:val="none" w:sz="0" w:space="0" w:color="auto"/>
        <w:right w:val="none" w:sz="0" w:space="0" w:color="auto"/>
      </w:divBdr>
    </w:div>
    <w:div w:id="2115709641">
      <w:bodyDiv w:val="1"/>
      <w:marLeft w:val="0"/>
      <w:marRight w:val="0"/>
      <w:marTop w:val="0"/>
      <w:marBottom w:val="0"/>
      <w:divBdr>
        <w:top w:val="none" w:sz="0" w:space="0" w:color="auto"/>
        <w:left w:val="none" w:sz="0" w:space="0" w:color="auto"/>
        <w:bottom w:val="none" w:sz="0" w:space="0" w:color="auto"/>
        <w:right w:val="none" w:sz="0" w:space="0" w:color="auto"/>
      </w:divBdr>
    </w:div>
    <w:div w:id="2144539379">
      <w:bodyDiv w:val="1"/>
      <w:marLeft w:val="0"/>
      <w:marRight w:val="0"/>
      <w:marTop w:val="0"/>
      <w:marBottom w:val="0"/>
      <w:divBdr>
        <w:top w:val="none" w:sz="0" w:space="0" w:color="auto"/>
        <w:left w:val="none" w:sz="0" w:space="0" w:color="auto"/>
        <w:bottom w:val="none" w:sz="0" w:space="0" w:color="auto"/>
        <w:right w:val="none" w:sz="0" w:space="0" w:color="auto"/>
      </w:divBdr>
    </w:div>
    <w:div w:id="21463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BFG_popr">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FG_popr" id="{D56D8C31-D2EA-419A-AF03-EF5B97FAD3CB}" vid="{44B572FF-3564-44F2-B9F6-FD5859263D8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07725-38FE-4C38-85AE-2FF41B07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51</Pages>
  <Words>20102</Words>
  <Characters>120613</Characters>
  <Application>Microsoft Office Word</Application>
  <DocSecurity>0</DocSecurity>
  <Lines>1005</Lines>
  <Paragraphs>280</Paragraphs>
  <ScaleCrop>false</ScaleCrop>
  <HeadingPairs>
    <vt:vector size="2" baseType="variant">
      <vt:variant>
        <vt:lpstr>Tytuł</vt:lpstr>
      </vt:variant>
      <vt:variant>
        <vt:i4>1</vt:i4>
      </vt:variant>
    </vt:vector>
  </HeadingPairs>
  <TitlesOfParts>
    <vt:vector size="1" baseType="lpstr">
      <vt:lpstr/>
    </vt:vector>
  </TitlesOfParts>
  <Company>BFG</Company>
  <LinksUpToDate>false</LinksUpToDate>
  <CharactersWithSpaces>140435</CharactersWithSpaces>
  <SharedDoc>false</SharedDoc>
  <HLinks>
    <vt:vector size="174" baseType="variant">
      <vt:variant>
        <vt:i4>1638451</vt:i4>
      </vt:variant>
      <vt:variant>
        <vt:i4>170</vt:i4>
      </vt:variant>
      <vt:variant>
        <vt:i4>0</vt:i4>
      </vt:variant>
      <vt:variant>
        <vt:i4>5</vt:i4>
      </vt:variant>
      <vt:variant>
        <vt:lpwstr/>
      </vt:variant>
      <vt:variant>
        <vt:lpwstr>_Toc467678767</vt:lpwstr>
      </vt:variant>
      <vt:variant>
        <vt:i4>1638451</vt:i4>
      </vt:variant>
      <vt:variant>
        <vt:i4>164</vt:i4>
      </vt:variant>
      <vt:variant>
        <vt:i4>0</vt:i4>
      </vt:variant>
      <vt:variant>
        <vt:i4>5</vt:i4>
      </vt:variant>
      <vt:variant>
        <vt:lpwstr/>
      </vt:variant>
      <vt:variant>
        <vt:lpwstr>_Toc467678766</vt:lpwstr>
      </vt:variant>
      <vt:variant>
        <vt:i4>1638451</vt:i4>
      </vt:variant>
      <vt:variant>
        <vt:i4>158</vt:i4>
      </vt:variant>
      <vt:variant>
        <vt:i4>0</vt:i4>
      </vt:variant>
      <vt:variant>
        <vt:i4>5</vt:i4>
      </vt:variant>
      <vt:variant>
        <vt:lpwstr/>
      </vt:variant>
      <vt:variant>
        <vt:lpwstr>_Toc467678765</vt:lpwstr>
      </vt:variant>
      <vt:variant>
        <vt:i4>1638451</vt:i4>
      </vt:variant>
      <vt:variant>
        <vt:i4>152</vt:i4>
      </vt:variant>
      <vt:variant>
        <vt:i4>0</vt:i4>
      </vt:variant>
      <vt:variant>
        <vt:i4>5</vt:i4>
      </vt:variant>
      <vt:variant>
        <vt:lpwstr/>
      </vt:variant>
      <vt:variant>
        <vt:lpwstr>_Toc467678764</vt:lpwstr>
      </vt:variant>
      <vt:variant>
        <vt:i4>1638451</vt:i4>
      </vt:variant>
      <vt:variant>
        <vt:i4>146</vt:i4>
      </vt:variant>
      <vt:variant>
        <vt:i4>0</vt:i4>
      </vt:variant>
      <vt:variant>
        <vt:i4>5</vt:i4>
      </vt:variant>
      <vt:variant>
        <vt:lpwstr/>
      </vt:variant>
      <vt:variant>
        <vt:lpwstr>_Toc467678763</vt:lpwstr>
      </vt:variant>
      <vt:variant>
        <vt:i4>1638451</vt:i4>
      </vt:variant>
      <vt:variant>
        <vt:i4>140</vt:i4>
      </vt:variant>
      <vt:variant>
        <vt:i4>0</vt:i4>
      </vt:variant>
      <vt:variant>
        <vt:i4>5</vt:i4>
      </vt:variant>
      <vt:variant>
        <vt:lpwstr/>
      </vt:variant>
      <vt:variant>
        <vt:lpwstr>_Toc467678762</vt:lpwstr>
      </vt:variant>
      <vt:variant>
        <vt:i4>1638451</vt:i4>
      </vt:variant>
      <vt:variant>
        <vt:i4>134</vt:i4>
      </vt:variant>
      <vt:variant>
        <vt:i4>0</vt:i4>
      </vt:variant>
      <vt:variant>
        <vt:i4>5</vt:i4>
      </vt:variant>
      <vt:variant>
        <vt:lpwstr/>
      </vt:variant>
      <vt:variant>
        <vt:lpwstr>_Toc467678761</vt:lpwstr>
      </vt:variant>
      <vt:variant>
        <vt:i4>1638451</vt:i4>
      </vt:variant>
      <vt:variant>
        <vt:i4>128</vt:i4>
      </vt:variant>
      <vt:variant>
        <vt:i4>0</vt:i4>
      </vt:variant>
      <vt:variant>
        <vt:i4>5</vt:i4>
      </vt:variant>
      <vt:variant>
        <vt:lpwstr/>
      </vt:variant>
      <vt:variant>
        <vt:lpwstr>_Toc467678760</vt:lpwstr>
      </vt:variant>
      <vt:variant>
        <vt:i4>1703987</vt:i4>
      </vt:variant>
      <vt:variant>
        <vt:i4>122</vt:i4>
      </vt:variant>
      <vt:variant>
        <vt:i4>0</vt:i4>
      </vt:variant>
      <vt:variant>
        <vt:i4>5</vt:i4>
      </vt:variant>
      <vt:variant>
        <vt:lpwstr/>
      </vt:variant>
      <vt:variant>
        <vt:lpwstr>_Toc467678759</vt:lpwstr>
      </vt:variant>
      <vt:variant>
        <vt:i4>1703987</vt:i4>
      </vt:variant>
      <vt:variant>
        <vt:i4>116</vt:i4>
      </vt:variant>
      <vt:variant>
        <vt:i4>0</vt:i4>
      </vt:variant>
      <vt:variant>
        <vt:i4>5</vt:i4>
      </vt:variant>
      <vt:variant>
        <vt:lpwstr/>
      </vt:variant>
      <vt:variant>
        <vt:lpwstr>_Toc467678758</vt:lpwstr>
      </vt:variant>
      <vt:variant>
        <vt:i4>1703987</vt:i4>
      </vt:variant>
      <vt:variant>
        <vt:i4>110</vt:i4>
      </vt:variant>
      <vt:variant>
        <vt:i4>0</vt:i4>
      </vt:variant>
      <vt:variant>
        <vt:i4>5</vt:i4>
      </vt:variant>
      <vt:variant>
        <vt:lpwstr/>
      </vt:variant>
      <vt:variant>
        <vt:lpwstr>_Toc467678757</vt:lpwstr>
      </vt:variant>
      <vt:variant>
        <vt:i4>1703987</vt:i4>
      </vt:variant>
      <vt:variant>
        <vt:i4>104</vt:i4>
      </vt:variant>
      <vt:variant>
        <vt:i4>0</vt:i4>
      </vt:variant>
      <vt:variant>
        <vt:i4>5</vt:i4>
      </vt:variant>
      <vt:variant>
        <vt:lpwstr/>
      </vt:variant>
      <vt:variant>
        <vt:lpwstr>_Toc467678756</vt:lpwstr>
      </vt:variant>
      <vt:variant>
        <vt:i4>1703987</vt:i4>
      </vt:variant>
      <vt:variant>
        <vt:i4>98</vt:i4>
      </vt:variant>
      <vt:variant>
        <vt:i4>0</vt:i4>
      </vt:variant>
      <vt:variant>
        <vt:i4>5</vt:i4>
      </vt:variant>
      <vt:variant>
        <vt:lpwstr/>
      </vt:variant>
      <vt:variant>
        <vt:lpwstr>_Toc467678755</vt:lpwstr>
      </vt:variant>
      <vt:variant>
        <vt:i4>1703987</vt:i4>
      </vt:variant>
      <vt:variant>
        <vt:i4>92</vt:i4>
      </vt:variant>
      <vt:variant>
        <vt:i4>0</vt:i4>
      </vt:variant>
      <vt:variant>
        <vt:i4>5</vt:i4>
      </vt:variant>
      <vt:variant>
        <vt:lpwstr/>
      </vt:variant>
      <vt:variant>
        <vt:lpwstr>_Toc467678754</vt:lpwstr>
      </vt:variant>
      <vt:variant>
        <vt:i4>1703987</vt:i4>
      </vt:variant>
      <vt:variant>
        <vt:i4>86</vt:i4>
      </vt:variant>
      <vt:variant>
        <vt:i4>0</vt:i4>
      </vt:variant>
      <vt:variant>
        <vt:i4>5</vt:i4>
      </vt:variant>
      <vt:variant>
        <vt:lpwstr/>
      </vt:variant>
      <vt:variant>
        <vt:lpwstr>_Toc467678753</vt:lpwstr>
      </vt:variant>
      <vt:variant>
        <vt:i4>1703987</vt:i4>
      </vt:variant>
      <vt:variant>
        <vt:i4>80</vt:i4>
      </vt:variant>
      <vt:variant>
        <vt:i4>0</vt:i4>
      </vt:variant>
      <vt:variant>
        <vt:i4>5</vt:i4>
      </vt:variant>
      <vt:variant>
        <vt:lpwstr/>
      </vt:variant>
      <vt:variant>
        <vt:lpwstr>_Toc467678752</vt:lpwstr>
      </vt:variant>
      <vt:variant>
        <vt:i4>1703987</vt:i4>
      </vt:variant>
      <vt:variant>
        <vt:i4>74</vt:i4>
      </vt:variant>
      <vt:variant>
        <vt:i4>0</vt:i4>
      </vt:variant>
      <vt:variant>
        <vt:i4>5</vt:i4>
      </vt:variant>
      <vt:variant>
        <vt:lpwstr/>
      </vt:variant>
      <vt:variant>
        <vt:lpwstr>_Toc467678751</vt:lpwstr>
      </vt:variant>
      <vt:variant>
        <vt:i4>1703987</vt:i4>
      </vt:variant>
      <vt:variant>
        <vt:i4>68</vt:i4>
      </vt:variant>
      <vt:variant>
        <vt:i4>0</vt:i4>
      </vt:variant>
      <vt:variant>
        <vt:i4>5</vt:i4>
      </vt:variant>
      <vt:variant>
        <vt:lpwstr/>
      </vt:variant>
      <vt:variant>
        <vt:lpwstr>_Toc467678750</vt:lpwstr>
      </vt:variant>
      <vt:variant>
        <vt:i4>1769523</vt:i4>
      </vt:variant>
      <vt:variant>
        <vt:i4>62</vt:i4>
      </vt:variant>
      <vt:variant>
        <vt:i4>0</vt:i4>
      </vt:variant>
      <vt:variant>
        <vt:i4>5</vt:i4>
      </vt:variant>
      <vt:variant>
        <vt:lpwstr/>
      </vt:variant>
      <vt:variant>
        <vt:lpwstr>_Toc467678749</vt:lpwstr>
      </vt:variant>
      <vt:variant>
        <vt:i4>1769523</vt:i4>
      </vt:variant>
      <vt:variant>
        <vt:i4>56</vt:i4>
      </vt:variant>
      <vt:variant>
        <vt:i4>0</vt:i4>
      </vt:variant>
      <vt:variant>
        <vt:i4>5</vt:i4>
      </vt:variant>
      <vt:variant>
        <vt:lpwstr/>
      </vt:variant>
      <vt:variant>
        <vt:lpwstr>_Toc467678748</vt:lpwstr>
      </vt:variant>
      <vt:variant>
        <vt:i4>1769523</vt:i4>
      </vt:variant>
      <vt:variant>
        <vt:i4>50</vt:i4>
      </vt:variant>
      <vt:variant>
        <vt:i4>0</vt:i4>
      </vt:variant>
      <vt:variant>
        <vt:i4>5</vt:i4>
      </vt:variant>
      <vt:variant>
        <vt:lpwstr/>
      </vt:variant>
      <vt:variant>
        <vt:lpwstr>_Toc467678747</vt:lpwstr>
      </vt:variant>
      <vt:variant>
        <vt:i4>1769523</vt:i4>
      </vt:variant>
      <vt:variant>
        <vt:i4>44</vt:i4>
      </vt:variant>
      <vt:variant>
        <vt:i4>0</vt:i4>
      </vt:variant>
      <vt:variant>
        <vt:i4>5</vt:i4>
      </vt:variant>
      <vt:variant>
        <vt:lpwstr/>
      </vt:variant>
      <vt:variant>
        <vt:lpwstr>_Toc467678746</vt:lpwstr>
      </vt:variant>
      <vt:variant>
        <vt:i4>1769523</vt:i4>
      </vt:variant>
      <vt:variant>
        <vt:i4>38</vt:i4>
      </vt:variant>
      <vt:variant>
        <vt:i4>0</vt:i4>
      </vt:variant>
      <vt:variant>
        <vt:i4>5</vt:i4>
      </vt:variant>
      <vt:variant>
        <vt:lpwstr/>
      </vt:variant>
      <vt:variant>
        <vt:lpwstr>_Toc467678745</vt:lpwstr>
      </vt:variant>
      <vt:variant>
        <vt:i4>1769523</vt:i4>
      </vt:variant>
      <vt:variant>
        <vt:i4>32</vt:i4>
      </vt:variant>
      <vt:variant>
        <vt:i4>0</vt:i4>
      </vt:variant>
      <vt:variant>
        <vt:i4>5</vt:i4>
      </vt:variant>
      <vt:variant>
        <vt:lpwstr/>
      </vt:variant>
      <vt:variant>
        <vt:lpwstr>_Toc467678744</vt:lpwstr>
      </vt:variant>
      <vt:variant>
        <vt:i4>1769523</vt:i4>
      </vt:variant>
      <vt:variant>
        <vt:i4>26</vt:i4>
      </vt:variant>
      <vt:variant>
        <vt:i4>0</vt:i4>
      </vt:variant>
      <vt:variant>
        <vt:i4>5</vt:i4>
      </vt:variant>
      <vt:variant>
        <vt:lpwstr/>
      </vt:variant>
      <vt:variant>
        <vt:lpwstr>_Toc467678743</vt:lpwstr>
      </vt:variant>
      <vt:variant>
        <vt:i4>1769523</vt:i4>
      </vt:variant>
      <vt:variant>
        <vt:i4>20</vt:i4>
      </vt:variant>
      <vt:variant>
        <vt:i4>0</vt:i4>
      </vt:variant>
      <vt:variant>
        <vt:i4>5</vt:i4>
      </vt:variant>
      <vt:variant>
        <vt:lpwstr/>
      </vt:variant>
      <vt:variant>
        <vt:lpwstr>_Toc467678742</vt:lpwstr>
      </vt:variant>
      <vt:variant>
        <vt:i4>1769523</vt:i4>
      </vt:variant>
      <vt:variant>
        <vt:i4>14</vt:i4>
      </vt:variant>
      <vt:variant>
        <vt:i4>0</vt:i4>
      </vt:variant>
      <vt:variant>
        <vt:i4>5</vt:i4>
      </vt:variant>
      <vt:variant>
        <vt:lpwstr/>
      </vt:variant>
      <vt:variant>
        <vt:lpwstr>_Toc467678741</vt:lpwstr>
      </vt:variant>
      <vt:variant>
        <vt:i4>1769523</vt:i4>
      </vt:variant>
      <vt:variant>
        <vt:i4>8</vt:i4>
      </vt:variant>
      <vt:variant>
        <vt:i4>0</vt:i4>
      </vt:variant>
      <vt:variant>
        <vt:i4>5</vt:i4>
      </vt:variant>
      <vt:variant>
        <vt:lpwstr/>
      </vt:variant>
      <vt:variant>
        <vt:lpwstr>_Toc467678740</vt:lpwstr>
      </vt:variant>
      <vt:variant>
        <vt:i4>1835059</vt:i4>
      </vt:variant>
      <vt:variant>
        <vt:i4>2</vt:i4>
      </vt:variant>
      <vt:variant>
        <vt:i4>0</vt:i4>
      </vt:variant>
      <vt:variant>
        <vt:i4>5</vt:i4>
      </vt:variant>
      <vt:variant>
        <vt:lpwstr/>
      </vt:variant>
      <vt:variant>
        <vt:lpwstr>_Toc467678739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"Kalenik-Sawośko Katarzyna"</dc:creator>
  <cp:keywords/>
  <dc:description/>
  <cp:lastModifiedBy>Teleżyńska Ewa</cp:lastModifiedBy>
  <cp:revision>64</cp:revision>
  <cp:lastPrinted>2022-10-10T12:32:00Z</cp:lastPrinted>
  <dcterms:created xsi:type="dcterms:W3CDTF">2022-10-06T19:54:00Z</dcterms:created>
  <dcterms:modified xsi:type="dcterms:W3CDTF">2022-10-10T13:07:00Z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